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EB677B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531897">
        <w:rPr>
          <w:rFonts w:ascii="Candara" w:hAnsi="Candara"/>
          <w:b/>
          <w:color w:val="D60093"/>
        </w:rPr>
        <w:t>1</w:t>
      </w:r>
      <w:r w:rsidR="008A6071">
        <w:rPr>
          <w:rFonts w:ascii="Candara" w:hAnsi="Candara"/>
          <w:b/>
          <w:color w:val="D60093"/>
        </w:rPr>
        <w:t>, 2022</w:t>
      </w:r>
    </w:p>
    <w:p w14:paraId="1F7784C9" w14:textId="4A4B3508" w:rsidR="00241584" w:rsidRDefault="00B1281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9C7CF9B"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12329E">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582DB70" w14:textId="0636BB34" w:rsidR="008A6071" w:rsidRDefault="00F56E90" w:rsidP="0012329E">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1F3736A2" w14:textId="52783B44" w:rsidR="000D5FD8" w:rsidRPr="0012329E" w:rsidRDefault="0012329E" w:rsidP="0012329E">
      <w:pPr>
        <w:pStyle w:val="ListParagraph"/>
        <w:ind w:firstLine="720"/>
        <w:rPr>
          <w:rFonts w:ascii="Candara" w:hAnsi="Candara"/>
          <w:color w:val="003366"/>
        </w:rPr>
      </w:pPr>
      <w:r w:rsidRPr="00BE56B3">
        <w:rPr>
          <w:rFonts w:ascii="Candara" w:hAnsi="Candara"/>
          <w:color w:val="003366"/>
        </w:rPr>
        <w:sym w:font="Wingdings" w:char="F0E0"/>
      </w:r>
      <w:r>
        <w:rPr>
          <w:rFonts w:ascii="Candara" w:hAnsi="Candara"/>
          <w:color w:val="003366"/>
        </w:rPr>
        <w:t>REVIEW</w:t>
      </w:r>
      <w:r w:rsidR="000D5FD8" w:rsidRPr="000D5FD8">
        <w:rPr>
          <w:rFonts w:ascii="Candara" w:hAnsi="Candara"/>
          <w:color w:val="003366"/>
        </w:rPr>
        <w:t xml:space="preserve">: </w:t>
      </w:r>
      <w:r w:rsidR="000D5FD8" w:rsidRPr="0012329E">
        <w:rPr>
          <w:rFonts w:ascii="Candara" w:hAnsi="Candara"/>
          <w:b/>
          <w:bCs/>
          <w:color w:val="003366"/>
        </w:rPr>
        <w:t>Chapter 21</w:t>
      </w:r>
      <w:r w:rsidRPr="0012329E">
        <w:rPr>
          <w:rFonts w:ascii="Candara" w:hAnsi="Candara"/>
          <w:b/>
          <w:bCs/>
          <w:color w:val="003366"/>
        </w:rPr>
        <w:t xml:space="preserve"> Practice Problems</w:t>
      </w:r>
    </w:p>
    <w:p w14:paraId="67D5A1E2" w14:textId="1902D253" w:rsidR="00AB1B42" w:rsidRPr="000D5FD8" w:rsidRDefault="00AB1B42" w:rsidP="0012329E">
      <w:pPr>
        <w:ind w:left="720" w:firstLine="720"/>
        <w:rPr>
          <w:rFonts w:ascii="Candara" w:hAnsi="Candara"/>
          <w:color w:val="003366"/>
        </w:rPr>
      </w:pPr>
      <w:r w:rsidRPr="00BE56B3">
        <w:sym w:font="Wingdings" w:char="F0E0"/>
      </w:r>
      <w:r w:rsidR="00AD16D3" w:rsidRPr="000D5FD8">
        <w:rPr>
          <w:rFonts w:ascii="Candara" w:hAnsi="Candara"/>
          <w:color w:val="003366"/>
        </w:rPr>
        <w:t>VIDEO</w:t>
      </w:r>
      <w:r w:rsidRPr="000D5FD8">
        <w:rPr>
          <w:rFonts w:ascii="Candara" w:hAnsi="Candara"/>
          <w:color w:val="003366"/>
        </w:rPr>
        <w:t xml:space="preserve">: </w:t>
      </w:r>
      <w:r w:rsidR="00AD16D3" w:rsidRPr="0012329E">
        <w:rPr>
          <w:rFonts w:ascii="Candara" w:hAnsi="Candara"/>
          <w:b/>
          <w:bCs/>
          <w:color w:val="003366"/>
        </w:rPr>
        <w:t>Project Almanac</w:t>
      </w:r>
      <w:r w:rsidR="00325FCC" w:rsidRPr="0012329E">
        <w:rPr>
          <w:rFonts w:ascii="Candara" w:hAnsi="Candara"/>
          <w:b/>
          <w:bCs/>
          <w:color w:val="003366"/>
        </w:rPr>
        <w:t xml:space="preserve"> – cont’d</w:t>
      </w:r>
    </w:p>
    <w:p w14:paraId="1585A1FB" w14:textId="77777777" w:rsidR="0012329E" w:rsidRDefault="0012329E" w:rsidP="0012329E">
      <w:pPr>
        <w:pStyle w:val="ListParagraph"/>
        <w:ind w:firstLine="720"/>
      </w:pPr>
    </w:p>
    <w:p w14:paraId="7E43AF78" w14:textId="1C4B72F3" w:rsidR="0012329E" w:rsidRDefault="0012329E" w:rsidP="0012329E">
      <w:pPr>
        <w:pStyle w:val="ListParagraph"/>
        <w:ind w:firstLine="720"/>
        <w:rPr>
          <w:rFonts w:ascii="Candara" w:hAnsi="Candara"/>
          <w:color w:val="003366"/>
        </w:rPr>
      </w:pPr>
      <w:r w:rsidRPr="00BE56B3">
        <w:sym w:font="Wingdings" w:char="F0E0"/>
      </w:r>
      <w:r>
        <w:rPr>
          <w:rFonts w:ascii="Candara" w:hAnsi="Candara"/>
          <w:color w:val="003366"/>
        </w:rPr>
        <w:t>BEGIN: Chapter 22 PPT Review</w:t>
      </w:r>
    </w:p>
    <w:p w14:paraId="6DBA72A3" w14:textId="77777777" w:rsidR="0012329E" w:rsidRPr="0012329E" w:rsidRDefault="0012329E" w:rsidP="0012329E">
      <w:pPr>
        <w:pStyle w:val="ListParagraph"/>
        <w:numPr>
          <w:ilvl w:val="0"/>
          <w:numId w:val="22"/>
        </w:numPr>
        <w:rPr>
          <w:rFonts w:ascii="Candara" w:hAnsi="Candara"/>
          <w:b/>
          <w:bCs/>
          <w:color w:val="7030A0"/>
        </w:rPr>
      </w:pPr>
      <w:r>
        <w:rPr>
          <w:rFonts w:ascii="Candara" w:hAnsi="Candara"/>
          <w:color w:val="003366"/>
        </w:rPr>
        <w:t>Section 22.1 – Current and Circuits</w:t>
      </w:r>
    </w:p>
    <w:p w14:paraId="3042D88E" w14:textId="7F057C2F" w:rsidR="004A4224" w:rsidRPr="0012329E" w:rsidRDefault="0012329E" w:rsidP="0012329E">
      <w:pPr>
        <w:pStyle w:val="ListParagraph"/>
        <w:numPr>
          <w:ilvl w:val="0"/>
          <w:numId w:val="22"/>
        </w:numPr>
        <w:rPr>
          <w:rFonts w:ascii="Candara" w:hAnsi="Candara"/>
          <w:b/>
          <w:bCs/>
          <w:color w:val="7030A0"/>
        </w:rPr>
      </w:pPr>
      <w:r>
        <w:rPr>
          <w:rFonts w:ascii="Candara" w:hAnsi="Candara"/>
          <w:color w:val="003366"/>
        </w:rPr>
        <w:t>Section 22.2 – Using Electrical Energy</w:t>
      </w:r>
      <w:r w:rsidR="00AB1B42" w:rsidRPr="0012329E">
        <w:rPr>
          <w:rFonts w:ascii="Candara" w:hAnsi="Candara"/>
          <w:color w:val="003366"/>
        </w:rP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4114975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4DFE327A" w14:textId="0B145C9C" w:rsidR="00AD16D3" w:rsidRDefault="00AD16D3" w:rsidP="004A4D1A">
      <w:pPr>
        <w:pStyle w:val="ListParagraph"/>
        <w:numPr>
          <w:ilvl w:val="0"/>
          <w:numId w:val="3"/>
        </w:numPr>
        <w:rPr>
          <w:rFonts w:ascii="Candara" w:hAnsi="Candara"/>
        </w:rPr>
      </w:pPr>
      <w:r>
        <w:rPr>
          <w:rFonts w:ascii="Candara" w:hAnsi="Candara"/>
        </w:rPr>
        <w:t>COMPLETE: Ch 22 &amp; 23 Vocabulary</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B1281A"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66FD1AA6" w:rsidR="00AA6C32" w:rsidRPr="00CA20D8" w:rsidRDefault="00AA6C32" w:rsidP="00AA6C32">
      <w:pPr>
        <w:pStyle w:val="ListParagraph"/>
        <w:numPr>
          <w:ilvl w:val="0"/>
          <w:numId w:val="2"/>
        </w:numPr>
        <w:rPr>
          <w:rFonts w:ascii="Candara" w:hAnsi="Candara"/>
        </w:rPr>
      </w:pPr>
      <w:r w:rsidRPr="00CA20D8">
        <w:rPr>
          <w:rFonts w:ascii="Candara" w:hAnsi="Candara"/>
        </w:rPr>
        <w:t>TEST: Chapter 2</w:t>
      </w:r>
      <w:r w:rsidR="004A4224" w:rsidRPr="00CA20D8">
        <w:rPr>
          <w:rFonts w:ascii="Candara" w:hAnsi="Candara"/>
        </w:rPr>
        <w:t>1</w:t>
      </w:r>
      <w:r w:rsidRPr="00CA20D8">
        <w:rPr>
          <w:rFonts w:ascii="Candara" w:hAnsi="Candara"/>
        </w:rPr>
        <w:t xml:space="preserve"> </w:t>
      </w:r>
      <w:r w:rsidRPr="00CA20D8">
        <w:rPr>
          <w:rFonts w:ascii="Candara" w:hAnsi="Candara"/>
          <w:highlight w:val="yellow"/>
        </w:rPr>
        <w:sym w:font="Wingdings" w:char="F0E0"/>
      </w:r>
      <w:r w:rsidRPr="00CA20D8">
        <w:rPr>
          <w:rFonts w:ascii="Candara" w:hAnsi="Candara"/>
          <w:highlight w:val="yellow"/>
        </w:rPr>
        <w:t xml:space="preserve"> </w:t>
      </w:r>
      <w:r w:rsidR="00AD16D3" w:rsidRPr="00CA20D8">
        <w:rPr>
          <w:rFonts w:ascii="Candara" w:hAnsi="Candara"/>
          <w:highlight w:val="yellow"/>
        </w:rPr>
        <w:t>February</w:t>
      </w:r>
      <w:r w:rsidR="00AD16D3" w:rsidRPr="0012329E">
        <w:rPr>
          <w:rFonts w:ascii="Candara" w:hAnsi="Candara"/>
          <w:highlight w:val="yellow"/>
        </w:rPr>
        <w:t xml:space="preserve"> </w:t>
      </w:r>
      <w:r w:rsidR="0012329E" w:rsidRPr="0012329E">
        <w:rPr>
          <w:rFonts w:ascii="Candara" w:hAnsi="Candara"/>
          <w:highlight w:val="yellow"/>
        </w:rPr>
        <w:t>4</w:t>
      </w:r>
    </w:p>
    <w:p w14:paraId="1246B280" w14:textId="507380FC" w:rsidR="00CA20D8" w:rsidRPr="00CA20D8" w:rsidRDefault="00CA20D8" w:rsidP="00CA20D8">
      <w:pPr>
        <w:pStyle w:val="ListParagraph"/>
        <w:numPr>
          <w:ilvl w:val="0"/>
          <w:numId w:val="2"/>
        </w:numPr>
        <w:rPr>
          <w:rFonts w:ascii="Candara" w:hAnsi="Candara"/>
        </w:rPr>
      </w:pPr>
      <w:r w:rsidRPr="00CA20D8">
        <w:rPr>
          <w:rFonts w:ascii="Candara" w:hAnsi="Candara"/>
        </w:rPr>
        <w:t>Ch 22 &amp; 23 Vocabulary – Feb. 4</w:t>
      </w:r>
    </w:p>
    <w:p w14:paraId="6A80A808" w14:textId="69450520" w:rsidR="00AB1B42" w:rsidRPr="00CA20D8" w:rsidRDefault="00AB1B42" w:rsidP="00AB1B42">
      <w:pPr>
        <w:pStyle w:val="ListParagraph"/>
        <w:numPr>
          <w:ilvl w:val="0"/>
          <w:numId w:val="2"/>
        </w:numPr>
        <w:rPr>
          <w:rFonts w:ascii="Candara" w:hAnsi="Candara"/>
        </w:r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366963AE" w14:textId="77777777" w:rsidR="00EC4AFA" w:rsidRDefault="00EC4AFA" w:rsidP="00AD16D3">
      <w:pPr>
        <w:rPr>
          <w:rFonts w:ascii="Candara" w:hAnsi="Candara"/>
          <w:highlight w:val="yellow"/>
        </w:rPr>
      </w:pPr>
    </w:p>
    <w:p w14:paraId="68826A9E" w14:textId="0562B293" w:rsidR="00AD16D3" w:rsidRPr="00AD16D3" w:rsidRDefault="00AD16D3" w:rsidP="00AD16D3">
      <w:pPr>
        <w:rPr>
          <w:rFonts w:ascii="Candara" w:hAnsi="Candara"/>
          <w:highlight w:val="yellow"/>
        </w:rPr>
        <w:sectPr w:rsidR="00AD16D3" w:rsidRPr="00AD16D3"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B1281A"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w:t>
      </w:r>
      <w:proofErr w:type="gramStart"/>
      <w:r>
        <w:rPr>
          <w:rFonts w:asciiTheme="minorHAnsi" w:hAnsiTheme="minorHAnsi"/>
          <w:color w:val="002060"/>
          <w:sz w:val="22"/>
        </w:rPr>
        <w:t>is located in</w:t>
      </w:r>
      <w:proofErr w:type="gramEnd"/>
      <w:r>
        <w:rPr>
          <w:rFonts w:asciiTheme="minorHAnsi" w:hAnsiTheme="minorHAnsi"/>
          <w:color w:val="002060"/>
          <w:sz w:val="22"/>
        </w:rPr>
        <w:t>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w:t>
      </w:r>
      <w:proofErr w:type="gramStart"/>
      <w:r>
        <w:rPr>
          <w:rFonts w:asciiTheme="minorHAnsi" w:hAnsiTheme="minorHAnsi"/>
          <w:color w:val="002060"/>
          <w:sz w:val="22"/>
        </w:rPr>
        <w:t>the  sphere</w:t>
      </w:r>
      <w:proofErr w:type="gramEnd"/>
      <w:r>
        <w:rPr>
          <w:rFonts w:asciiTheme="minorHAnsi" w:hAnsiTheme="minorHAnsi"/>
          <w:color w:val="002060"/>
          <w:sz w:val="22"/>
        </w:rPr>
        <w:t>?</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How far from a point charge of +2.4×10−6 C must you place a test charge </w:t>
      </w:r>
      <w:proofErr w:type="gramStart"/>
      <w:r>
        <w:rPr>
          <w:rFonts w:asciiTheme="minorHAnsi" w:hAnsiTheme="minorHAnsi"/>
          <w:color w:val="002060"/>
          <w:sz w:val="22"/>
        </w:rPr>
        <w:t>in order to</w:t>
      </w:r>
      <w:proofErr w:type="gramEnd"/>
      <w:r>
        <w:rPr>
          <w:rFonts w:asciiTheme="minorHAnsi" w:hAnsiTheme="minorHAnsi"/>
          <w:color w:val="002060"/>
          <w:sz w:val="22"/>
        </w:rPr>
        <w:t xml:space="preserve">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w:t>
      </w:r>
      <w:proofErr w:type="gramStart"/>
      <w:r>
        <w:rPr>
          <w:rFonts w:asciiTheme="minorHAnsi" w:hAnsiTheme="minorHAnsi"/>
          <w:color w:val="002060"/>
          <w:sz w:val="22"/>
        </w:rPr>
        <w:t>m  apart</w:t>
      </w:r>
      <w:proofErr w:type="gramEnd"/>
      <w:r>
        <w:rPr>
          <w:rFonts w:asciiTheme="minorHAnsi" w:hAnsiTheme="minorHAnsi"/>
          <w:color w:val="002060"/>
          <w:sz w:val="22"/>
        </w:rPr>
        <w: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w:t>
      </w:r>
      <w:proofErr w:type="gramStart"/>
      <w:r>
        <w:rPr>
          <w:rFonts w:asciiTheme="minorHAnsi" w:hAnsiTheme="minorHAnsi"/>
          <w:color w:val="002060"/>
          <w:sz w:val="22"/>
        </w:rPr>
        <w:t>of</w:t>
      </w:r>
      <w:proofErr w:type="gramEnd"/>
      <w:r>
        <w:rPr>
          <w:rFonts w:asciiTheme="minorHAnsi" w:hAnsiTheme="minorHAnsi"/>
          <w:color w:val="002060"/>
          <w:sz w:val="22"/>
        </w:rPr>
        <w:t>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w:t>
      </w:r>
      <w:proofErr w:type="gramStart"/>
      <w:r>
        <w:rPr>
          <w:rFonts w:asciiTheme="minorHAnsi" w:hAnsiTheme="minorHAnsi"/>
          <w:color w:val="002060"/>
          <w:sz w:val="22"/>
        </w:rPr>
        <w:t>drop</w:t>
      </w:r>
      <w:proofErr w:type="gramEnd"/>
      <w:r>
        <w:rPr>
          <w:rFonts w:asciiTheme="minorHAnsi" w:hAnsiTheme="minorHAnsi"/>
          <w:color w:val="002060"/>
          <w:sz w:val="22"/>
        </w:rPr>
        <w:t xml:space="preserve">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732E" w14:textId="77777777" w:rsidR="00B1281A" w:rsidRDefault="00B1281A" w:rsidP="00AA3026">
      <w:r>
        <w:separator/>
      </w:r>
    </w:p>
  </w:endnote>
  <w:endnote w:type="continuationSeparator" w:id="0">
    <w:p w14:paraId="47831768" w14:textId="77777777" w:rsidR="00B1281A" w:rsidRDefault="00B1281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B1281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3EF" w14:textId="77777777" w:rsidR="00B1281A" w:rsidRDefault="00B1281A" w:rsidP="00AA3026">
      <w:r>
        <w:separator/>
      </w:r>
    </w:p>
  </w:footnote>
  <w:footnote w:type="continuationSeparator" w:id="0">
    <w:p w14:paraId="667B8055" w14:textId="77777777" w:rsidR="00B1281A" w:rsidRDefault="00B1281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0"/>
  </w:num>
  <w:num w:numId="4">
    <w:abstractNumId w:val="4"/>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1"/>
  </w:num>
  <w:num w:numId="15">
    <w:abstractNumId w:val="5"/>
  </w:num>
  <w:num w:numId="16">
    <w:abstractNumId w:val="6"/>
  </w:num>
  <w:num w:numId="17">
    <w:abstractNumId w:val="1"/>
  </w:num>
  <w:num w:numId="18">
    <w:abstractNumId w:val="12"/>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20D8"/>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2022-02-01T06:28:00Z</dcterms:created>
  <dcterms:modified xsi:type="dcterms:W3CDTF">2022-02-01T06:32:00Z</dcterms:modified>
</cp:coreProperties>
</file>