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4C3B2FD"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3C5D1C">
        <w:rPr>
          <w:rFonts w:ascii="Candara" w:hAnsi="Candara"/>
          <w:b/>
          <w:color w:val="36EB0B"/>
        </w:rPr>
        <w:t>7</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7CBDC65"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3C5D1C">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2D2D5CD"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67696DA0" w14:textId="2FEB20F3" w:rsidR="00A1756E" w:rsidRPr="003C5D1C" w:rsidRDefault="00B07848" w:rsidP="003C5D1C">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44BC4054"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F77D0A">
        <w:rPr>
          <w:rFonts w:ascii="Candara" w:hAnsi="Candara"/>
          <w:color w:val="002060"/>
        </w:rPr>
        <w:t>8</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24452B5F"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14C5431A" w14:textId="77777777" w:rsidR="005B529C" w:rsidRPr="000733E4" w:rsidRDefault="005B529C" w:rsidP="005B529C">
      <w:pPr>
        <w:ind w:left="2160"/>
        <w:rPr>
          <w:rFonts w:ascii="Candara" w:hAnsi="Candara"/>
          <w:color w:val="0909E9"/>
        </w:rPr>
      </w:pPr>
      <w:r>
        <w:rPr>
          <w:rFonts w:ascii="Candara" w:hAnsi="Candara"/>
          <w:color w:val="0909E9"/>
        </w:rPr>
        <w:t>*Discuss SF with teacher – finalize details for start of experiment</w:t>
      </w:r>
    </w:p>
    <w:p w14:paraId="728D535C" w14:textId="7C81ACF7" w:rsidR="00481CF0" w:rsidRDefault="006E4D80" w:rsidP="003C5D1C">
      <w:pPr>
        <w:ind w:left="720" w:firstLine="720"/>
        <w:rPr>
          <w:rFonts w:ascii="Candara" w:hAnsi="Candara"/>
          <w:b/>
          <w:bCs/>
        </w:rPr>
      </w:pPr>
      <w:r w:rsidRPr="00CD2E05">
        <w:rPr>
          <w:rFonts w:ascii="Candara" w:hAnsi="Candara"/>
          <w:color w:val="002060"/>
        </w:rPr>
        <w:sym w:font="Wingdings" w:char="F0E0"/>
      </w:r>
      <w:r w:rsidR="003C5D1C" w:rsidRPr="003C5D1C">
        <w:rPr>
          <w:rFonts w:ascii="Candara" w:hAnsi="Candara"/>
          <w:b/>
          <w:bCs/>
          <w:color w:val="C00000"/>
        </w:rPr>
        <w:t xml:space="preserve"> </w:t>
      </w:r>
      <w:r w:rsidR="003C5D1C">
        <w:rPr>
          <w:rFonts w:ascii="Candara" w:hAnsi="Candara"/>
          <w:b/>
          <w:bCs/>
          <w:color w:val="C00000"/>
        </w:rPr>
        <w:t>TEST:</w:t>
      </w:r>
      <w:r w:rsidR="003C5D1C">
        <w:rPr>
          <w:rFonts w:ascii="Candara" w:hAnsi="Candara"/>
          <w:b/>
          <w:bCs/>
        </w:rPr>
        <w:t xml:space="preserve"> Ch</w:t>
      </w:r>
      <w:r w:rsidR="003C5D1C">
        <w:rPr>
          <w:rFonts w:ascii="Candara" w:hAnsi="Candara"/>
          <w:b/>
          <w:bCs/>
        </w:rPr>
        <w:t>apter</w:t>
      </w:r>
      <w:r w:rsidR="003C5D1C">
        <w:rPr>
          <w:rFonts w:ascii="Candara" w:hAnsi="Candara"/>
          <w:b/>
          <w:bCs/>
        </w:rPr>
        <w:t xml:space="preserve"> 10</w:t>
      </w:r>
    </w:p>
    <w:p w14:paraId="15D56868" w14:textId="75DF70BA" w:rsidR="003C5D1C" w:rsidRPr="003C5D1C" w:rsidRDefault="003C5D1C" w:rsidP="003C5D1C">
      <w:pPr>
        <w:ind w:left="720" w:firstLine="720"/>
        <w:rPr>
          <w:rFonts w:ascii="Candara" w:hAnsi="Candara"/>
          <w:b/>
          <w:bCs/>
        </w:rPr>
      </w:pPr>
      <w:r>
        <w:rPr>
          <w:rFonts w:ascii="Candara" w:hAnsi="Candara"/>
          <w:b/>
          <w:bCs/>
        </w:rPr>
        <w:tab/>
      </w:r>
      <w:r w:rsidRPr="003C5D1C">
        <w:rPr>
          <w:rFonts w:ascii="Candara" w:hAnsi="Candara"/>
          <w:b/>
          <w:bCs/>
          <w:color w:val="7030A0"/>
        </w:rPr>
        <w:t xml:space="preserve">*Go to </w:t>
      </w:r>
      <w:hyperlink r:id="rId8" w:history="1">
        <w:r w:rsidRPr="003C5D1C">
          <w:rPr>
            <w:rStyle w:val="Hyperlink"/>
            <w:rFonts w:ascii="Candara" w:hAnsi="Candara"/>
            <w:b/>
            <w:bCs/>
          </w:rPr>
          <w:t>www.socrative.com</w:t>
        </w:r>
      </w:hyperlink>
      <w:r w:rsidRPr="003C5D1C">
        <w:rPr>
          <w:rFonts w:ascii="Candara" w:hAnsi="Candara"/>
          <w:b/>
          <w:bCs/>
          <w:color w:val="7030A0"/>
        </w:rPr>
        <w:t xml:space="preserve"> </w:t>
      </w:r>
      <w:r w:rsidRPr="003C5D1C">
        <w:rPr>
          <w:rFonts w:ascii="Candara" w:hAnsi="Candara"/>
          <w:b/>
          <w:bCs/>
          <w:color w:val="7030A0"/>
        </w:rPr>
        <w:sym w:font="Wingdings" w:char="F0E0"/>
      </w:r>
      <w:r w:rsidRPr="003C5D1C">
        <w:rPr>
          <w:rFonts w:ascii="Candara" w:hAnsi="Candara"/>
          <w:b/>
          <w:bCs/>
          <w:color w:val="7030A0"/>
        </w:rPr>
        <w:t xml:space="preserve"> enter room “MSBENVIRO” </w:t>
      </w:r>
      <w:r w:rsidRPr="003C5D1C">
        <w:rPr>
          <w:rFonts w:ascii="Candara" w:hAnsi="Candara"/>
          <w:b/>
          <w:bCs/>
          <w:color w:val="7030A0"/>
        </w:rPr>
        <w:sym w:font="Wingdings" w:char="F0E0"/>
      </w:r>
      <w:r w:rsidRPr="003C5D1C">
        <w:rPr>
          <w:rFonts w:ascii="Candara" w:hAnsi="Candara"/>
          <w:b/>
          <w:bCs/>
          <w:color w:val="7030A0"/>
        </w:rPr>
        <w:t xml:space="preserve"> enter ID #</w:t>
      </w:r>
    </w:p>
    <w:p w14:paraId="371F1974" w14:textId="77777777" w:rsidR="003C5D1C" w:rsidRDefault="003C5D1C" w:rsidP="003C5D1C">
      <w:pPr>
        <w:ind w:left="720" w:firstLine="720"/>
        <w:rPr>
          <w:rFonts w:ascii="Candara" w:hAnsi="Candara"/>
          <w:color w:val="002060"/>
        </w:rPr>
      </w:pPr>
    </w:p>
    <w:p w14:paraId="53D53561" w14:textId="305B3C25" w:rsidR="003C5D1C" w:rsidRDefault="003C5D1C" w:rsidP="003C5D1C">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WEDNESDAY: Chapter 11 PPT Review</w:t>
      </w:r>
    </w:p>
    <w:p w14:paraId="568111B1" w14:textId="71348240" w:rsidR="003C5D1C" w:rsidRDefault="003C5D1C" w:rsidP="003C5D1C">
      <w:pPr>
        <w:pStyle w:val="ListParagraph"/>
        <w:numPr>
          <w:ilvl w:val="0"/>
          <w:numId w:val="13"/>
        </w:numPr>
        <w:rPr>
          <w:rFonts w:ascii="Candara" w:hAnsi="Candara"/>
          <w:color w:val="002060"/>
        </w:rPr>
      </w:pPr>
      <w:r>
        <w:rPr>
          <w:rFonts w:ascii="Candara" w:hAnsi="Candara"/>
          <w:color w:val="002060"/>
        </w:rPr>
        <w:t>Section 11.1 – Biodiversity Loss and Extinction</w:t>
      </w:r>
    </w:p>
    <w:p w14:paraId="0675C697" w14:textId="3C2149F0" w:rsidR="003C5D1C" w:rsidRDefault="003C5D1C" w:rsidP="003C5D1C">
      <w:pPr>
        <w:pStyle w:val="ListParagraph"/>
        <w:numPr>
          <w:ilvl w:val="0"/>
          <w:numId w:val="13"/>
        </w:numPr>
        <w:rPr>
          <w:rFonts w:ascii="Candara" w:hAnsi="Candara"/>
          <w:color w:val="002060"/>
        </w:rPr>
      </w:pPr>
      <w:r>
        <w:rPr>
          <w:rFonts w:ascii="Candara" w:hAnsi="Candara"/>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218C96BC"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Pr>
          <w:rFonts w:ascii="Candara" w:hAnsi="Candara"/>
        </w:rPr>
        <w:t>Chapter 11 Vocabulary</w:t>
      </w:r>
      <w:r w:rsidR="003C5D1C">
        <w:rPr>
          <w:rFonts w:ascii="Candara" w:hAnsi="Candara"/>
        </w:rPr>
        <w:t xml:space="preserve"> and Reading Guide Questions</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6A83B98D" w14:textId="3CE446C6" w:rsidR="00167F5A" w:rsidRPr="00EF102F" w:rsidRDefault="00167F5A"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10</w:t>
      </w:r>
      <w:r w:rsidRPr="00B14753">
        <w:rPr>
          <w:rFonts w:ascii="Candara" w:hAnsi="Candara"/>
          <w:b/>
          <w:bCs/>
        </w:rPr>
        <w:sym w:font="Wingdings" w:char="F0E0"/>
      </w:r>
      <w:r>
        <w:rPr>
          <w:rFonts w:ascii="Candara" w:hAnsi="Candara"/>
          <w:b/>
          <w:bCs/>
        </w:rPr>
        <w:t xml:space="preserve"> </w:t>
      </w:r>
      <w:r w:rsidRPr="00265CA6">
        <w:rPr>
          <w:rFonts w:ascii="Candara" w:hAnsi="Candara"/>
          <w:b/>
          <w:bCs/>
          <w:strike/>
          <w:color w:val="0000FF"/>
          <w:highlight w:val="yellow"/>
        </w:rPr>
        <w:t xml:space="preserve">Thursday, Jan. </w:t>
      </w:r>
      <w:proofErr w:type="gramStart"/>
      <w:r w:rsidRPr="00265CA6">
        <w:rPr>
          <w:rFonts w:ascii="Candara" w:hAnsi="Candara"/>
          <w:b/>
          <w:bCs/>
          <w:strike/>
          <w:color w:val="0000FF"/>
          <w:highlight w:val="yellow"/>
        </w:rPr>
        <w:t>12</w:t>
      </w:r>
      <w:r>
        <w:rPr>
          <w:rFonts w:ascii="Candara" w:hAnsi="Candara"/>
          <w:b/>
          <w:bCs/>
          <w:color w:val="0000FF"/>
        </w:rPr>
        <w:t xml:space="preserve">  </w:t>
      </w:r>
      <w:r w:rsidRPr="00265CA6">
        <w:rPr>
          <w:rFonts w:ascii="Candara" w:hAnsi="Candara"/>
          <w:b/>
          <w:bCs/>
          <w:color w:val="FF00FF"/>
        </w:rPr>
        <w:t>Jan.</w:t>
      </w:r>
      <w:proofErr w:type="gramEnd"/>
      <w:r w:rsidRPr="00265CA6">
        <w:rPr>
          <w:rFonts w:ascii="Candara" w:hAnsi="Candara"/>
          <w:b/>
          <w:bCs/>
          <w:color w:val="FF00FF"/>
        </w:rPr>
        <w:t xml:space="preserve"> 17</w:t>
      </w:r>
    </w:p>
    <w:p w14:paraId="1C7BE263" w14:textId="16C41D92" w:rsidR="00EF102F" w:rsidRPr="00EF102F" w:rsidRDefault="00EF102F" w:rsidP="00167F5A">
      <w:pPr>
        <w:pStyle w:val="ListParagraph"/>
        <w:numPr>
          <w:ilvl w:val="0"/>
          <w:numId w:val="3"/>
        </w:numPr>
        <w:rPr>
          <w:rFonts w:ascii="Candara" w:hAnsi="Candara"/>
          <w:b/>
          <w:bCs/>
        </w:rPr>
      </w:pPr>
      <w:r>
        <w:rPr>
          <w:rFonts w:ascii="Candara" w:hAnsi="Candara"/>
        </w:rPr>
        <w:t>Chapter 11 Vocabulary – Jan. 19</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6E4D80" w:rsidRDefault="00EF102F" w:rsidP="00EF102F">
      <w:pPr>
        <w:pStyle w:val="ListParagraph"/>
        <w:rPr>
          <w:rFonts w:ascii="Candara" w:hAnsi="Candara"/>
          <w:b/>
          <w:bCs/>
        </w:rPr>
        <w:sectPr w:rsidR="00EF102F" w:rsidRPr="006E4D80" w:rsidSect="00987ED8">
          <w:type w:val="continuous"/>
          <w:pgSz w:w="12240" w:h="15840"/>
          <w:pgMar w:top="720" w:right="720" w:bottom="720" w:left="720" w:header="708" w:footer="708" w:gutter="0"/>
          <w:cols w:space="708"/>
          <w:docGrid w:linePitch="360"/>
        </w:sectPr>
      </w:pPr>
    </w:p>
    <w:p w14:paraId="5866A56F" w14:textId="77777777" w:rsidR="00167F5A" w:rsidRDefault="00167F5A" w:rsidP="00EF102F">
      <w:pPr>
        <w:rPr>
          <w:rFonts w:ascii="Candara" w:hAnsi="Candara"/>
          <w:color w:val="0070C0"/>
        </w:rPr>
      </w:pPr>
    </w:p>
    <w:p w14:paraId="39A6E110" w14:textId="77777777"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6"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10"/>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w:t>
      </w:r>
      <w:proofErr w:type="gramStart"/>
      <w:r w:rsidRPr="00387AED">
        <w:rPr>
          <w:rFonts w:asciiTheme="minorHAnsi" w:hAnsiTheme="minorHAnsi" w:cstheme="minorHAnsi"/>
          <w:b/>
          <w:color w:val="002060"/>
        </w:rPr>
        <w:t>accumulated</w:t>
      </w:r>
      <w:proofErr w:type="gramEnd"/>
      <w:r w:rsidRPr="00387AED">
        <w:rPr>
          <w:rFonts w:asciiTheme="minorHAnsi" w:hAnsiTheme="minorHAnsi" w:cstheme="minorHAnsi"/>
          <w:b/>
          <w:color w:val="002060"/>
        </w:rPr>
        <w:t xml:space="preserve">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2"/>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3"/>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w:t>
      </w:r>
      <w:proofErr w:type="gramStart"/>
      <w:r w:rsidRPr="003B2E7B">
        <w:rPr>
          <w:rFonts w:asciiTheme="minorHAnsi" w:hAnsiTheme="minorHAnsi" w:cstheme="minorHAnsi"/>
        </w:rPr>
        <w:t>all of</w:t>
      </w:r>
      <w:proofErr w:type="gramEnd"/>
      <w:r w:rsidRPr="003B2E7B">
        <w:rPr>
          <w:rFonts w:asciiTheme="minorHAnsi" w:hAnsiTheme="minorHAnsi" w:cstheme="minorHAnsi"/>
        </w:rPr>
        <w:t xml:space="preserve">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4"/>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5"/>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5F383ADE" w:rsidR="00B61EF2"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B3731C4" w14:textId="5F7CDAE2" w:rsidR="005B529C" w:rsidRDefault="005B529C" w:rsidP="00B61EF2">
      <w:pPr>
        <w:ind w:left="-5"/>
        <w:rPr>
          <w:rFonts w:asciiTheme="minorHAnsi" w:hAnsiTheme="minorHAnsi" w:cstheme="minorHAnsi"/>
        </w:rPr>
      </w:pPr>
    </w:p>
    <w:p w14:paraId="53E5F029" w14:textId="373B297D" w:rsidR="005B529C" w:rsidRDefault="005B529C">
      <w:pPr>
        <w:spacing w:after="160" w:line="259" w:lineRule="auto"/>
        <w:rPr>
          <w:rFonts w:asciiTheme="minorHAnsi" w:hAnsiTheme="minorHAnsi" w:cstheme="minorHAnsi"/>
        </w:rPr>
      </w:pPr>
      <w:r>
        <w:rPr>
          <w:rFonts w:asciiTheme="minorHAnsi" w:hAnsiTheme="minorHAnsi" w:cstheme="minorHAnsi"/>
        </w:rPr>
        <w:br w:type="page"/>
      </w:r>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7"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4BC84C48" w14:textId="77777777"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8"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7"/>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p w14:paraId="51072E36" w14:textId="344A37B0" w:rsidR="00F34896" w:rsidRDefault="00B61EF2" w:rsidP="00B24F6E">
      <w:pPr>
        <w:spacing w:line="259" w:lineRule="auto"/>
        <w:rPr>
          <w:rFonts w:ascii="Candara" w:hAnsi="Candara"/>
          <w:b/>
          <w:color w:val="36EB0B"/>
        </w:rPr>
      </w:pPr>
      <w:r>
        <w:rPr>
          <w:rFonts w:ascii="Candara" w:hAnsi="Candara"/>
          <w:b/>
          <w:color w:val="36EB0B"/>
        </w:rPr>
        <w:br w:type="page"/>
      </w:r>
    </w:p>
    <w:p w14:paraId="38CA535D" w14:textId="2A0BC722" w:rsidR="006E4D80" w:rsidRPr="00541878" w:rsidRDefault="006E4D80" w:rsidP="00B24F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w:t>
      </w:r>
      <w:r w:rsidR="00B24F6E">
        <w:rPr>
          <w:rFonts w:ascii="Candara" w:hAnsi="Candara"/>
          <w:b/>
          <w:color w:val="7030A0"/>
          <w:sz w:val="36"/>
          <w:szCs w:val="36"/>
        </w:rPr>
        <w:t>1</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51058620"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3A3B6E8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29CE43EA"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2A824FA4"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B2D5E8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6A82BF67"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529E71F6"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7FBEA9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7006EE2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0B402B2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60982528"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0733405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24230225"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5F2E5C2F"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099C6C90" w14:textId="6E160E45" w:rsidR="00790D25" w:rsidRPr="00B24F6E" w:rsidRDefault="00B24F6E" w:rsidP="006E4D80">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0BBD9D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25EC71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1C9FAFE4"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721F942E" w14:textId="6909160C" w:rsidR="006E4D80" w:rsidRP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sectPr w:rsidR="006E4D80" w:rsidRPr="00B24F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806A7" w14:textId="77777777" w:rsidR="00274556" w:rsidRDefault="00274556" w:rsidP="00AA3026">
      <w:r>
        <w:separator/>
      </w:r>
    </w:p>
  </w:endnote>
  <w:endnote w:type="continuationSeparator" w:id="0">
    <w:p w14:paraId="4EA8B29E" w14:textId="77777777" w:rsidR="00274556" w:rsidRDefault="0027455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3886" w14:textId="77777777" w:rsidR="00274556" w:rsidRDefault="00274556" w:rsidP="00AA3026">
      <w:r>
        <w:separator/>
      </w:r>
    </w:p>
  </w:footnote>
  <w:footnote w:type="continuationSeparator" w:id="0">
    <w:p w14:paraId="1E85C239" w14:textId="77777777" w:rsidR="00274556" w:rsidRDefault="0027455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3A20"/>
    <w:rsid w:val="00097C97"/>
    <w:rsid w:val="000C0612"/>
    <w:rsid w:val="000C5DEC"/>
    <w:rsid w:val="000C7250"/>
    <w:rsid w:val="000D2394"/>
    <w:rsid w:val="000D3804"/>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189E"/>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2023-01-17T08:20:00Z</dcterms:created>
  <dcterms:modified xsi:type="dcterms:W3CDTF">2023-01-17T08:26:00Z</dcterms:modified>
</cp:coreProperties>
</file>