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8780AB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w:t>
      </w:r>
      <w:r w:rsidR="00322664">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F2B6D54"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007D7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00E1770"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7887FB5D" w14:textId="2FF135C8"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322664">
        <w:rPr>
          <w:rFonts w:ascii="Candara" w:hAnsi="Candara"/>
          <w:color w:val="002060"/>
        </w:rPr>
        <w:t>DAY 2</w:t>
      </w:r>
      <w:r w:rsidR="00C51CD5">
        <w:rPr>
          <w:rFonts w:ascii="Candara" w:hAnsi="Candara"/>
          <w:color w:val="002060"/>
        </w:rPr>
        <w:t>: Chapter 16 PPT Review</w:t>
      </w:r>
    </w:p>
    <w:p w14:paraId="1347EC24" w14:textId="77777777" w:rsidR="00C51CD5" w:rsidRPr="00322664" w:rsidRDefault="00C51CD5" w:rsidP="00C51CD5">
      <w:pPr>
        <w:pStyle w:val="ListParagraph"/>
        <w:numPr>
          <w:ilvl w:val="0"/>
          <w:numId w:val="23"/>
        </w:numPr>
        <w:rPr>
          <w:rFonts w:ascii="Candara" w:hAnsi="Candara"/>
          <w:b/>
          <w:bCs/>
          <w:color w:val="7030A0"/>
        </w:rPr>
      </w:pPr>
      <w:r w:rsidRPr="00322664">
        <w:rPr>
          <w:rFonts w:ascii="Candara" w:hAnsi="Candara"/>
          <w:b/>
          <w:bCs/>
          <w:color w:val="7030A0"/>
        </w:rPr>
        <w:t>Section 16.3 – Categories of Air Pollutants</w:t>
      </w:r>
    </w:p>
    <w:p w14:paraId="493AE530" w14:textId="77777777" w:rsidR="00C51CD5" w:rsidRPr="00322664" w:rsidRDefault="00C51CD5" w:rsidP="00C51CD5">
      <w:pPr>
        <w:pStyle w:val="ListParagraph"/>
        <w:numPr>
          <w:ilvl w:val="0"/>
          <w:numId w:val="23"/>
        </w:numPr>
        <w:rPr>
          <w:rFonts w:ascii="Candara" w:hAnsi="Candara"/>
          <w:b/>
          <w:bCs/>
          <w:color w:val="7030A0"/>
        </w:rPr>
      </w:pPr>
      <w:r w:rsidRPr="00322664">
        <w:rPr>
          <w:rFonts w:ascii="Candara" w:hAnsi="Candara"/>
          <w:b/>
          <w:bCs/>
          <w:color w:val="7030A0"/>
        </w:rPr>
        <w:t>Section 16.4 – Photochemical Smog</w:t>
      </w:r>
    </w:p>
    <w:p w14:paraId="7377408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16.5 - Acid Deposition</w:t>
      </w:r>
    </w:p>
    <w:p w14:paraId="40F41A18"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16.6 – Ozone Depletion</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11FCA09" w:rsidR="00832732" w:rsidRP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7BAFA391"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C51CD5">
        <w:rPr>
          <w:rFonts w:ascii="Candara" w:hAnsi="Candara"/>
          <w:color w:val="C00000"/>
        </w:rPr>
        <w:t>5 &amp; 16 Vocabulary and 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16B17415" w:rsidR="00832732" w:rsidRPr="005103E1" w:rsidRDefault="00832732" w:rsidP="00322664">
      <w:pPr>
        <w:spacing w:after="160" w:line="259" w:lineRule="auto"/>
        <w:jc w:val="center"/>
        <w:rPr>
          <w:rFonts w:ascii="Candara" w:hAnsi="Candara"/>
          <w:color w:val="0033CC"/>
        </w:rPr>
      </w:pPr>
      <w:bookmarkStart w:id="1" w:name="_Hlk130555981"/>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C0B5" w14:textId="77777777" w:rsidR="00EB2CC5" w:rsidRDefault="00EB2CC5" w:rsidP="00AA3026">
      <w:r>
        <w:separator/>
      </w:r>
    </w:p>
  </w:endnote>
  <w:endnote w:type="continuationSeparator" w:id="0">
    <w:p w14:paraId="17B91DAC" w14:textId="77777777" w:rsidR="00EB2CC5" w:rsidRDefault="00EB2CC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F69" w14:textId="77777777" w:rsidR="00EB2CC5" w:rsidRDefault="00EB2CC5" w:rsidP="00AA3026">
      <w:r>
        <w:separator/>
      </w:r>
    </w:p>
  </w:footnote>
  <w:footnote w:type="continuationSeparator" w:id="0">
    <w:p w14:paraId="65A617EA" w14:textId="77777777" w:rsidR="00EB2CC5" w:rsidRDefault="00EB2CC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2023-03-28T08:05:00Z</dcterms:created>
  <dcterms:modified xsi:type="dcterms:W3CDTF">2023-03-28T08:06:00Z</dcterms:modified>
</cp:coreProperties>
</file>