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2C3EEFB"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62979">
        <w:rPr>
          <w:rFonts w:ascii="Candara" w:hAnsi="Candara"/>
          <w:b/>
          <w:color w:val="F9340D"/>
        </w:rPr>
        <w:t>10</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0B85344A"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762979">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6A8780D" w14:textId="62D55874" w:rsidR="00A71F40" w:rsidRPr="00762979" w:rsidRDefault="00762979" w:rsidP="001D6824">
      <w:pPr>
        <w:spacing w:line="259" w:lineRule="auto"/>
        <w:ind w:left="1440"/>
        <w:rPr>
          <w:rFonts w:ascii="Candara" w:hAnsi="Candara"/>
          <w:b/>
          <w:bCs/>
          <w:color w:val="003366"/>
        </w:rPr>
      </w:pPr>
      <w:r w:rsidRPr="00386280">
        <w:rPr>
          <w:rFonts w:ascii="Candara" w:hAnsi="Candara"/>
          <w:color w:val="003366"/>
        </w:rPr>
        <w:sym w:font="Wingdings" w:char="F0E0"/>
      </w:r>
      <w:r>
        <w:rPr>
          <w:rFonts w:ascii="Candara" w:hAnsi="Candara"/>
          <w:color w:val="003366"/>
        </w:rPr>
        <w:t xml:space="preserve">JOURNAL PROMPT #11 – </w:t>
      </w:r>
      <w:r w:rsidRPr="00762979">
        <w:rPr>
          <w:rFonts w:ascii="Candara" w:hAnsi="Candara"/>
          <w:b/>
          <w:bCs/>
          <w:color w:val="003366"/>
        </w:rPr>
        <w:t>Describe your survival plan in the event of a “zombie apocalypse”</w:t>
      </w:r>
    </w:p>
    <w:p w14:paraId="2DAF3422" w14:textId="77777777" w:rsidR="00762979" w:rsidRDefault="00762979" w:rsidP="001D6824">
      <w:pPr>
        <w:spacing w:line="259" w:lineRule="auto"/>
        <w:ind w:left="1440"/>
        <w:rPr>
          <w:rFonts w:ascii="Candara" w:hAnsi="Candara"/>
          <w:color w:val="002060"/>
        </w:rPr>
      </w:pPr>
    </w:p>
    <w:p w14:paraId="54F87635" w14:textId="1B244CA0" w:rsidR="00BF37F3" w:rsidRDefault="005F6EBA" w:rsidP="001D6824">
      <w:pPr>
        <w:spacing w:line="259" w:lineRule="auto"/>
        <w:ind w:left="1440"/>
        <w:rPr>
          <w:rFonts w:ascii="Candara" w:hAnsi="Candara"/>
          <w:b/>
          <w:bCs/>
        </w:rPr>
      </w:pPr>
      <w:r w:rsidRPr="001E4467">
        <w:rPr>
          <w:rFonts w:ascii="Candara" w:hAnsi="Candara"/>
          <w:color w:val="002060"/>
        </w:rPr>
        <w:sym w:font="Wingdings" w:char="F0E0"/>
      </w:r>
      <w:r w:rsidR="001D6824">
        <w:rPr>
          <w:rFonts w:ascii="Candara" w:hAnsi="Candara"/>
          <w:b/>
          <w:bCs/>
        </w:rPr>
        <w:t>(American Lit) Uni1 1 – Early America</w:t>
      </w:r>
      <w:r w:rsidR="00016AAA">
        <w:rPr>
          <w:rFonts w:ascii="Candara" w:hAnsi="Candara"/>
          <w:b/>
          <w:bCs/>
        </w:rPr>
        <w:t xml:space="preserve"> – Historical, Social and Cultural Forces</w:t>
      </w:r>
    </w:p>
    <w:p w14:paraId="2E6FC09E" w14:textId="62F92F84" w:rsidR="00016AAA" w:rsidRDefault="00016AAA" w:rsidP="001D6824">
      <w:pPr>
        <w:spacing w:line="259" w:lineRule="auto"/>
        <w:ind w:left="1440"/>
        <w:rPr>
          <w:rFonts w:ascii="Candara" w:hAnsi="Candara"/>
          <w:color w:val="002060"/>
        </w:rPr>
      </w:pPr>
      <w:r>
        <w:rPr>
          <w:rFonts w:ascii="Candara" w:hAnsi="Candara"/>
          <w:color w:val="002060"/>
        </w:rPr>
        <w:tab/>
        <w:t>*</w:t>
      </w:r>
      <w:r w:rsidR="00843953">
        <w:rPr>
          <w:rFonts w:ascii="Candara" w:hAnsi="Candara"/>
          <w:color w:val="002060"/>
        </w:rPr>
        <w:t>See p. 2 of doc, Parts B</w:t>
      </w:r>
    </w:p>
    <w:p w14:paraId="7DDF60E5" w14:textId="77777777" w:rsidR="00624FCA" w:rsidRDefault="00624FCA" w:rsidP="00843953">
      <w:pPr>
        <w:spacing w:line="256" w:lineRule="auto"/>
        <w:rPr>
          <w:rFonts w:ascii="Candara" w:hAnsi="Candara"/>
        </w:rPr>
      </w:pPr>
    </w:p>
    <w:p w14:paraId="3760558B" w14:textId="6E4A3BE5" w:rsidR="003140F9" w:rsidRDefault="008A1366" w:rsidP="001D6824">
      <w:pPr>
        <w:spacing w:line="256" w:lineRule="auto"/>
        <w:ind w:left="1440"/>
        <w:rPr>
          <w:rFonts w:ascii="Candara" w:hAnsi="Candara"/>
          <w:color w:val="7030A0"/>
        </w:rPr>
      </w:pPr>
      <w:r w:rsidRPr="001E4467">
        <w:rPr>
          <w:rFonts w:ascii="Candara" w:hAnsi="Candara"/>
          <w:color w:val="002060"/>
        </w:rPr>
        <w:sym w:font="Wingdings" w:char="F0E0"/>
      </w:r>
      <w:r w:rsidR="00762979">
        <w:rPr>
          <w:rFonts w:ascii="Candara" w:hAnsi="Candara"/>
          <w:color w:val="002060"/>
        </w:rPr>
        <w:t xml:space="preserve">WEDNESDAY: </w:t>
      </w:r>
      <w:r w:rsidRPr="00762979">
        <w:rPr>
          <w:rFonts w:ascii="Candara" w:hAnsi="Candara"/>
          <w:color w:val="002060"/>
        </w:rPr>
        <w:t>Read Aloud – The Bell Jar</w:t>
      </w:r>
      <w:r w:rsidR="003140F9" w:rsidRPr="00762979">
        <w:rPr>
          <w:rFonts w:ascii="Candara" w:hAnsi="Candara"/>
          <w:color w:val="7030A0"/>
        </w:rPr>
        <w:tab/>
      </w:r>
      <w:r w:rsidR="001D6824" w:rsidRPr="00762979">
        <w:rPr>
          <w:rFonts w:ascii="Candara" w:hAnsi="Candara"/>
          <w:color w:val="7030A0"/>
        </w:rPr>
        <w:t>- cont’d</w:t>
      </w:r>
      <w:r w:rsidR="003140F9" w:rsidRPr="0076297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1EAAAA58"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xml:space="preserve">– </w:t>
      </w:r>
      <w:r w:rsidR="00B21A05" w:rsidRPr="00762979">
        <w:rPr>
          <w:rFonts w:ascii="Candara" w:hAnsi="Candara"/>
          <w:strike/>
        </w:rPr>
        <w:t>chapters 1 – end of 5 [for Friday];</w:t>
      </w:r>
      <w:r w:rsidR="00B21A05">
        <w:rPr>
          <w:rFonts w:ascii="Candara" w:hAnsi="Candara"/>
        </w:rPr>
        <w:t xml:space="preserve"> </w:t>
      </w:r>
      <w:r w:rsidR="00B21A05" w:rsidRPr="00762979">
        <w:rPr>
          <w:rFonts w:ascii="Candara" w:hAnsi="Candara"/>
          <w:strike/>
        </w:rPr>
        <w:t>chapters 6 – end of 10 [for Tuesday]</w:t>
      </w:r>
      <w:r w:rsidR="00B21A05">
        <w:rPr>
          <w:rFonts w:ascii="Candara" w:hAnsi="Candara"/>
        </w:rPr>
        <w:t>; chapters 11 – end of 15 [for Jan. 13]; chapters 16 – end of 20 [for Jan. 17]</w:t>
      </w:r>
    </w:p>
    <w:p w14:paraId="5E942B23" w14:textId="4B105D16" w:rsidR="00596CB9" w:rsidRPr="00596CB9" w:rsidRDefault="00596CB9" w:rsidP="004E17EF">
      <w:pPr>
        <w:pStyle w:val="ListParagraph"/>
        <w:numPr>
          <w:ilvl w:val="0"/>
          <w:numId w:val="32"/>
        </w:numPr>
        <w:rPr>
          <w:rFonts w:ascii="Candara" w:hAnsi="Candara"/>
        </w:rPr>
      </w:pPr>
      <w:r>
        <w:rPr>
          <w:rFonts w:ascii="Candara" w:hAnsi="Candara"/>
        </w:rPr>
        <w:t>COMPLETE: The Bell Jar Vocabulary</w:t>
      </w:r>
    </w:p>
    <w:p w14:paraId="45CABC5C" w14:textId="39070D40"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0ED9AC21" w14:textId="4438DBEB" w:rsidR="00596CB9" w:rsidRPr="00596CB9" w:rsidRDefault="00596CB9" w:rsidP="00B21A05">
      <w:pPr>
        <w:pStyle w:val="ListParagraph"/>
        <w:numPr>
          <w:ilvl w:val="0"/>
          <w:numId w:val="24"/>
        </w:numPr>
        <w:rPr>
          <w:rFonts w:ascii="Candara" w:hAnsi="Candara"/>
          <w:b/>
          <w:bCs/>
          <w:color w:val="0000FF"/>
        </w:rPr>
      </w:pPr>
      <w:r>
        <w:rPr>
          <w:rFonts w:ascii="Candara" w:hAnsi="Candara"/>
          <w:color w:val="C00000"/>
        </w:rPr>
        <w:t xml:space="preserve">QUIZ:  </w:t>
      </w:r>
      <w:r w:rsidRPr="00596CB9">
        <w:rPr>
          <w:rFonts w:ascii="Candara" w:hAnsi="Candara"/>
          <w:b/>
          <w:bCs/>
        </w:rPr>
        <w:t xml:space="preserve">Vocabulary - The Bell Jar </w:t>
      </w:r>
      <w:r w:rsidRPr="00596CB9">
        <w:rPr>
          <w:rFonts w:ascii="Candara" w:hAnsi="Candara"/>
          <w:b/>
          <w:bCs/>
        </w:rPr>
        <w:sym w:font="Wingdings" w:char="F0E0"/>
      </w:r>
      <w:r w:rsidRPr="00596CB9">
        <w:rPr>
          <w:rFonts w:ascii="Candara" w:hAnsi="Candara"/>
          <w:b/>
          <w:bCs/>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314A2EE" w14:textId="77777777" w:rsidR="00AB56C1" w:rsidRDefault="00AB56C1" w:rsidP="00A71F40">
      <w:pPr>
        <w:spacing w:after="160" w:line="259" w:lineRule="auto"/>
        <w:ind w:left="720"/>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062BE661" w14:textId="77777777" w:rsidR="00AB56C1" w:rsidRDefault="00AB56C1">
      <w:pPr>
        <w:spacing w:after="160" w:line="259" w:lineRule="auto"/>
        <w:rPr>
          <w:rFonts w:ascii="Candara" w:hAnsi="Candara"/>
          <w:b/>
          <w:color w:val="F9340D"/>
        </w:rPr>
      </w:pPr>
      <w:r>
        <w:rPr>
          <w:rFonts w:ascii="Candara" w:hAnsi="Candara"/>
          <w:b/>
          <w:color w:val="F9340D"/>
        </w:rPr>
        <w:br w:type="page"/>
      </w:r>
    </w:p>
    <w:p w14:paraId="749DB6FA" w14:textId="29B7AB1B" w:rsidR="00041BFE" w:rsidRDefault="00041BFE" w:rsidP="00041BFE">
      <w:pPr>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w:t>
      </w:r>
      <w:proofErr w:type="gramStart"/>
      <w:r w:rsidR="00016AAA" w:rsidRPr="00762979">
        <w:rPr>
          <w:rFonts w:asciiTheme="majorHAnsi" w:hAnsiTheme="majorHAnsi" w:cstheme="majorHAnsi"/>
          <w:bCs/>
          <w:strike/>
          <w:sz w:val="22"/>
          <w:szCs w:val="22"/>
        </w:rPr>
        <w:t>compare and contrast</w:t>
      </w:r>
      <w:proofErr w:type="gramEnd"/>
      <w:r w:rsidR="00016AAA" w:rsidRPr="00762979">
        <w:rPr>
          <w:rFonts w:asciiTheme="majorHAnsi" w:hAnsiTheme="majorHAnsi" w:cstheme="majorHAnsi"/>
          <w:bCs/>
          <w:strike/>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EE1A" w14:textId="77777777" w:rsidR="00E17054" w:rsidRDefault="00E17054" w:rsidP="00AA3026">
      <w:r>
        <w:separator/>
      </w:r>
    </w:p>
  </w:endnote>
  <w:endnote w:type="continuationSeparator" w:id="0">
    <w:p w14:paraId="7CD07E88" w14:textId="77777777" w:rsidR="00E17054" w:rsidRDefault="00E1705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0843" w14:textId="77777777" w:rsidR="00E17054" w:rsidRDefault="00E17054" w:rsidP="00AA3026">
      <w:r>
        <w:separator/>
      </w:r>
    </w:p>
  </w:footnote>
  <w:footnote w:type="continuationSeparator" w:id="0">
    <w:p w14:paraId="1466F7A2" w14:textId="77777777" w:rsidR="00E17054" w:rsidRDefault="00E1705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24" style="width:0;height:1.5pt" o:hralign="center" o:bullet="t" o:hrstd="t" o:hr="t" fillcolor="#aca899" stroked="f"/>
    </w:pict>
  </w:numPicBullet>
  <w:numPicBullet w:numPicBulletId="1">
    <w:pict>
      <v:rect id="_x0000_i142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41584"/>
    <w:rsid w:val="002454E2"/>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E1560"/>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07FCD"/>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17054"/>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2023-01-10T09:31:00Z</dcterms:created>
  <dcterms:modified xsi:type="dcterms:W3CDTF">2023-01-10T09:34:00Z</dcterms:modified>
</cp:coreProperties>
</file>