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A2BAF11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4D2B66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2B2949A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</w:t>
      </w:r>
      <w:r w:rsidR="004D2B66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65E7FE51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</w:t>
      </w:r>
      <w:r w:rsidR="00A40828">
        <w:rPr>
          <w:rFonts w:ascii="Candara" w:hAnsi="Candara"/>
          <w:color w:val="003366"/>
        </w:rPr>
        <w:t>final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742A3B1" w14:textId="10205759" w:rsidR="000A00AC" w:rsidRDefault="00762979" w:rsidP="004D2B66">
      <w:pPr>
        <w:spacing w:line="259" w:lineRule="auto"/>
        <w:ind w:left="144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  <w:r w:rsidR="004D2B66">
        <w:rPr>
          <w:rFonts w:ascii="Candara" w:hAnsi="Candara"/>
          <w:color w:val="C00000"/>
        </w:rPr>
        <w:t>VOCABULARY QUIZ</w:t>
      </w:r>
      <w:r w:rsidR="004D2B66">
        <w:rPr>
          <w:rFonts w:ascii="Candara" w:hAnsi="Candara"/>
          <w:color w:val="C00000"/>
        </w:rPr>
        <w:t xml:space="preserve">: </w:t>
      </w:r>
      <w:r w:rsidR="004D2B66">
        <w:rPr>
          <w:rFonts w:ascii="Candara" w:hAnsi="Candara"/>
        </w:rPr>
        <w:t>In Cold Blood</w:t>
      </w:r>
    </w:p>
    <w:p w14:paraId="7A3385EF" w14:textId="708216D0" w:rsidR="006F0B67" w:rsidRDefault="006F0B67" w:rsidP="006F0B67">
      <w:pPr>
        <w:pStyle w:val="ListParagraph"/>
        <w:spacing w:line="252" w:lineRule="auto"/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25A62074" w14:textId="77777777" w:rsidR="006F0B67" w:rsidRDefault="006F0B67" w:rsidP="006F0B67">
      <w:pPr>
        <w:spacing w:line="259" w:lineRule="auto"/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43C3AD93" w14:textId="7137DB14" w:rsidR="006F0B67" w:rsidRPr="004D2B66" w:rsidRDefault="006F0B67" w:rsidP="004D2B66">
      <w:pPr>
        <w:spacing w:line="259" w:lineRule="auto"/>
        <w:ind w:left="1440"/>
        <w:rPr>
          <w:rFonts w:ascii="Candara" w:hAnsi="Candara"/>
        </w:rPr>
      </w:pPr>
    </w:p>
    <w:p w14:paraId="013D2EEA" w14:textId="44F7C93A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A40828">
        <w:rPr>
          <w:rFonts w:ascii="Candara" w:hAnsi="Candara"/>
          <w:color w:val="002060"/>
        </w:rPr>
        <w:t xml:space="preserve">DAY </w:t>
      </w:r>
      <w:r w:rsidR="00A40828" w:rsidRPr="00A40828">
        <w:rPr>
          <w:rFonts w:ascii="Candara" w:hAnsi="Candara"/>
          <w:color w:val="002060"/>
        </w:rPr>
        <w:t>1</w:t>
      </w:r>
      <w:r w:rsidR="004D2B66">
        <w:rPr>
          <w:rFonts w:ascii="Candara" w:hAnsi="Candara"/>
          <w:color w:val="002060"/>
        </w:rPr>
        <w:t>1</w:t>
      </w:r>
      <w:r w:rsidRPr="00A40828">
        <w:rPr>
          <w:rFonts w:ascii="Candara" w:hAnsi="Candara"/>
          <w:color w:val="002060"/>
        </w:rPr>
        <w:t>: Truman Capote’s In Cold Blood</w:t>
      </w:r>
      <w:r w:rsidR="004C6CF2">
        <w:rPr>
          <w:rFonts w:ascii="Candara" w:hAnsi="Candara"/>
          <w:b/>
          <w:bCs/>
          <w:color w:val="002060"/>
        </w:rPr>
        <w:t xml:space="preserve"> </w:t>
      </w:r>
      <w:r w:rsidR="00A40828">
        <w:rPr>
          <w:rFonts w:ascii="Candara" w:hAnsi="Candara"/>
          <w:b/>
          <w:bCs/>
          <w:color w:val="002060"/>
        </w:rPr>
        <w:t>– Review Part 3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2AF0F7CD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–Part 4 [by Fri, Feb. 10]</w:t>
      </w:r>
    </w:p>
    <w:p w14:paraId="45CABC5C" w14:textId="174570B2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</w:t>
      </w:r>
      <w:r w:rsidR="002A1769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5F49FF98" w:rsidR="00EC5692" w:rsidRPr="004D2B66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  <w:color w:val="0000FF"/>
        </w:rPr>
      </w:pPr>
      <w:r w:rsidRPr="004D2B66">
        <w:rPr>
          <w:rFonts w:ascii="Candara" w:hAnsi="Candara"/>
          <w:strike/>
          <w:color w:val="C00000"/>
        </w:rPr>
        <w:t xml:space="preserve">VOCABULARY QUIZ </w:t>
      </w:r>
      <w:r w:rsidRPr="004D2B66">
        <w:rPr>
          <w:rFonts w:ascii="Candara" w:hAnsi="Candara"/>
          <w:strike/>
          <w:color w:val="C00000"/>
        </w:rPr>
        <w:sym w:font="Wingdings" w:char="F0E0"/>
      </w:r>
      <w:r w:rsidRPr="004D2B66">
        <w:rPr>
          <w:rFonts w:ascii="Candara" w:hAnsi="Candara"/>
          <w:strike/>
          <w:color w:val="C00000"/>
        </w:rPr>
        <w:t xml:space="preserve"> </w:t>
      </w:r>
      <w:r w:rsidRPr="004D2B66">
        <w:rPr>
          <w:rFonts w:ascii="Candara" w:hAnsi="Candara"/>
          <w:b/>
          <w:bCs/>
          <w:strike/>
        </w:rPr>
        <w:t xml:space="preserve">Thursday, Feb. </w:t>
      </w:r>
      <w:r w:rsidR="00E15A3D" w:rsidRPr="004D2B66">
        <w:rPr>
          <w:rFonts w:ascii="Candara" w:hAnsi="Candara"/>
          <w:b/>
          <w:bCs/>
          <w:strike/>
        </w:rPr>
        <w:t>9</w:t>
      </w:r>
      <w:r w:rsidRPr="004D2B66">
        <w:rPr>
          <w:rFonts w:ascii="Candara" w:hAnsi="Candara"/>
          <w:b/>
          <w:bCs/>
          <w:strike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1817C12" w14:textId="1B9E61DB" w:rsidR="00041BFE" w:rsidRPr="00247CA7" w:rsidRDefault="00C47CD1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041BFE">
        <w:rPr>
          <w:rFonts w:ascii="Candara" w:hAnsi="Candara"/>
          <w:b/>
          <w:color w:val="F9340D"/>
        </w:rPr>
        <w:lastRenderedPageBreak/>
        <w:t>(H)ENGLISH LANGUAGE ARTS (ELA) 2022-23</w:t>
      </w:r>
      <w:r w:rsidR="00041BFE">
        <w:rPr>
          <w:rFonts w:ascii="Candara" w:hAnsi="Candara"/>
          <w:b/>
          <w:color w:val="F9340D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AE55" w14:textId="77777777" w:rsidR="00240A8D" w:rsidRDefault="00240A8D" w:rsidP="00AA3026">
      <w:r>
        <w:separator/>
      </w:r>
    </w:p>
  </w:endnote>
  <w:endnote w:type="continuationSeparator" w:id="0">
    <w:p w14:paraId="71964ECC" w14:textId="77777777" w:rsidR="00240A8D" w:rsidRDefault="00240A8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B522" w14:textId="77777777" w:rsidR="00240A8D" w:rsidRDefault="00240A8D" w:rsidP="00AA3026">
      <w:r>
        <w:separator/>
      </w:r>
    </w:p>
  </w:footnote>
  <w:footnote w:type="continuationSeparator" w:id="0">
    <w:p w14:paraId="5B990729" w14:textId="77777777" w:rsidR="00240A8D" w:rsidRDefault="00240A8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19" style="width:0;height:1.5pt" o:hralign="center" o:bullet="t" o:hrstd="t" o:hr="t" fillcolor="#aca899" stroked="f"/>
    </w:pict>
  </w:numPicBullet>
  <w:numPicBullet w:numPicBulletId="1">
    <w:pict>
      <v:rect id="_x0000_i132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40828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2023-02-08T19:39:00Z</dcterms:created>
  <dcterms:modified xsi:type="dcterms:W3CDTF">2023-02-08T19:51:00Z</dcterms:modified>
</cp:coreProperties>
</file>