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96650F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2B2E7C">
        <w:rPr>
          <w:rFonts w:ascii="Candara" w:hAnsi="Candara"/>
          <w:b/>
          <w:color w:val="7030A0"/>
        </w:rPr>
        <w:t>22</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2FD8631" w:rsidR="00241584" w:rsidRPr="008342CC" w:rsidRDefault="0075424D" w:rsidP="00241584">
      <w:pPr>
        <w:rPr>
          <w:rFonts w:ascii="Candara" w:hAnsi="Candara"/>
          <w:b/>
          <w:color w:val="003366"/>
        </w:rPr>
      </w:pPr>
      <w:r>
        <w:rPr>
          <w:rFonts w:ascii="Candara" w:hAnsi="Candara"/>
          <w:b/>
          <w:color w:val="003366"/>
        </w:rPr>
        <w:t xml:space="preserve">Today’s Agenda (Day </w:t>
      </w:r>
      <w:r w:rsidR="002B2E7C">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11958B80" w:rsidR="008578E7" w:rsidRPr="00483346" w:rsidRDefault="008A61CF" w:rsidP="008578E7">
      <w:pPr>
        <w:numPr>
          <w:ilvl w:val="0"/>
          <w:numId w:val="1"/>
        </w:numPr>
        <w:rPr>
          <w:rFonts w:ascii="Candara" w:hAnsi="Candara"/>
          <w:color w:val="003366"/>
        </w:rPr>
      </w:pPr>
      <w:r>
        <w:rPr>
          <w:rFonts w:ascii="Candara" w:hAnsi="Candara"/>
          <w:color w:val="003366"/>
        </w:rPr>
        <w:t>HOMEWORK CHECK</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649634ED" w14:textId="413CBE1B" w:rsidR="00C43A93" w:rsidRDefault="00C43A93" w:rsidP="00483346">
      <w:pPr>
        <w:ind w:left="720" w:firstLine="720"/>
        <w:rPr>
          <w:rFonts w:ascii="Candara" w:hAnsi="Candara"/>
          <w:color w:val="003366"/>
        </w:rPr>
      </w:pPr>
      <w:r w:rsidRPr="000A7592">
        <w:rPr>
          <w:rFonts w:ascii="Candara" w:hAnsi="Candara"/>
          <w:color w:val="003366"/>
        </w:rPr>
        <w:sym w:font="Wingdings" w:char="F0E0"/>
      </w:r>
      <w:r w:rsidR="002B2E7C">
        <w:rPr>
          <w:rFonts w:ascii="Candara" w:hAnsi="Candara"/>
          <w:color w:val="003366"/>
        </w:rPr>
        <w:t>BEGIN: Unit 1 PPT Review</w:t>
      </w:r>
    </w:p>
    <w:p w14:paraId="777B6DBF" w14:textId="227CE9E1" w:rsidR="008578E7" w:rsidRPr="00D05B33" w:rsidRDefault="00483346" w:rsidP="008578E7">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REVIEW: APA Practice – p. 2 of document</w:t>
      </w:r>
      <w:r w:rsidR="008578E7">
        <w:rPr>
          <w:rFonts w:ascii="Candara" w:hAnsi="Candara"/>
          <w:color w:val="003366"/>
        </w:rPr>
        <w:tab/>
      </w:r>
      <w:r w:rsidR="008578E7">
        <w:rPr>
          <w:rFonts w:ascii="Candara" w:hAnsi="Candara"/>
          <w:color w:val="003366"/>
        </w:rPr>
        <w:tab/>
      </w:r>
      <w:r w:rsidR="008578E7">
        <w:rPr>
          <w:rFonts w:ascii="Candara" w:hAnsi="Candara"/>
          <w:color w:val="003366"/>
        </w:rPr>
        <w:tab/>
      </w:r>
      <w:r w:rsidR="008578E7">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793DEDE7" w:rsidR="008578E7" w:rsidRDefault="002B2E7C" w:rsidP="008578E7">
      <w:pPr>
        <w:pStyle w:val="ListParagraph"/>
        <w:numPr>
          <w:ilvl w:val="0"/>
          <w:numId w:val="24"/>
        </w:numPr>
        <w:rPr>
          <w:rFonts w:ascii="Candara" w:hAnsi="Candara"/>
        </w:rPr>
      </w:pPr>
      <w:r>
        <w:rPr>
          <w:rFonts w:ascii="Candara" w:hAnsi="Candara"/>
        </w:rPr>
        <w:t>READ: Unit 1 – Psychology’s History and Approaches</w:t>
      </w:r>
    </w:p>
    <w:p w14:paraId="57DCBA44" w14:textId="33DC65C5" w:rsidR="002B2E7C" w:rsidRDefault="002B2E7C" w:rsidP="008578E7">
      <w:pPr>
        <w:pStyle w:val="ListParagraph"/>
        <w:numPr>
          <w:ilvl w:val="0"/>
          <w:numId w:val="24"/>
        </w:numPr>
        <w:rPr>
          <w:rFonts w:ascii="Candara" w:hAnsi="Candara"/>
        </w:rPr>
      </w:pPr>
      <w:r>
        <w:rPr>
          <w:rFonts w:ascii="Candara" w:hAnsi="Candara"/>
        </w:rPr>
        <w:t xml:space="preserve">COMPLETE: Unit 1 Vocabulary </w:t>
      </w:r>
      <w:r w:rsidR="008039D7">
        <w:rPr>
          <w:rFonts w:ascii="Candara" w:hAnsi="Candara"/>
        </w:rPr>
        <w:t xml:space="preserve">(as per abridged template) </w:t>
      </w:r>
      <w:r>
        <w:rPr>
          <w:rFonts w:ascii="Candara" w:hAnsi="Candara"/>
        </w:rPr>
        <w:t>and Notes</w:t>
      </w:r>
    </w:p>
    <w:p w14:paraId="60545628" w14:textId="416AACEE" w:rsidR="002B2E7C" w:rsidRPr="00F20061" w:rsidRDefault="002B2E7C" w:rsidP="008578E7">
      <w:pPr>
        <w:pStyle w:val="ListParagraph"/>
        <w:numPr>
          <w:ilvl w:val="0"/>
          <w:numId w:val="24"/>
        </w:numPr>
        <w:rPr>
          <w:rFonts w:ascii="Candara" w:hAnsi="Candara"/>
        </w:rPr>
      </w:pPr>
      <w:r>
        <w:rPr>
          <w:rFonts w:ascii="Candara" w:hAnsi="Candara"/>
          <w:color w:val="C00000"/>
        </w:rPr>
        <w:t>STUDY: APA Quiz</w:t>
      </w:r>
      <w:r w:rsidR="00F20061">
        <w:rPr>
          <w:rFonts w:ascii="Candara" w:hAnsi="Candara"/>
          <w:color w:val="C00000"/>
        </w:rPr>
        <w:t>, 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3E0F565C" w14:textId="77777777" w:rsidR="008578E7" w:rsidRPr="00487417" w:rsidRDefault="008578E7" w:rsidP="008578E7">
      <w:pPr>
        <w:rPr>
          <w:rFonts w:ascii="Candara" w:hAnsi="Candara"/>
          <w:highlight w:val="yellow"/>
          <w:u w:val="single"/>
        </w:rPr>
      </w:pPr>
    </w:p>
    <w:p w14:paraId="152EE740" w14:textId="3BB50F73" w:rsidR="008C1508" w:rsidRPr="00F20061" w:rsidRDefault="008C1508" w:rsidP="008C1508">
      <w:pPr>
        <w:jc w:val="center"/>
        <w:rPr>
          <w:rFonts w:asciiTheme="majorHAnsi" w:hAnsiTheme="majorHAnsi" w:cstheme="majorHAnsi"/>
          <w:color w:val="0070C0"/>
          <w:sz w:val="20"/>
          <w:szCs w:val="20"/>
        </w:rPr>
      </w:pPr>
      <w:r>
        <w:rPr>
          <w:rFonts w:asciiTheme="majorHAnsi" w:hAnsiTheme="majorHAnsi" w:cstheme="majorHAnsi"/>
          <w:color w:val="0070C0"/>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39203052" w14:textId="77777777" w:rsidR="00483346" w:rsidRDefault="00483346" w:rsidP="00C0717B">
      <w:pPr>
        <w:jc w:val="center"/>
        <w:rPr>
          <w:rFonts w:asciiTheme="majorHAnsi" w:hAnsiTheme="majorHAnsi" w:cstheme="majorHAnsi"/>
          <w:b/>
          <w:bCs/>
          <w:color w:val="0070C0"/>
          <w:sz w:val="32"/>
          <w:szCs w:val="32"/>
        </w:rPr>
      </w:pPr>
    </w:p>
    <w:p w14:paraId="633C471D" w14:textId="6155F18A" w:rsidR="00C0717B" w:rsidRPr="00C0717B" w:rsidRDefault="00C0717B" w:rsidP="00C0717B">
      <w:pPr>
        <w:jc w:val="center"/>
        <w:rPr>
          <w:rFonts w:asciiTheme="majorHAnsi" w:hAnsiTheme="majorHAnsi" w:cstheme="majorHAnsi"/>
          <w:b/>
          <w:bCs/>
          <w:color w:val="0070C0"/>
          <w:sz w:val="32"/>
          <w:szCs w:val="32"/>
        </w:rPr>
      </w:pPr>
      <w:r w:rsidRPr="00C0717B">
        <w:rPr>
          <w:rFonts w:asciiTheme="majorHAnsi" w:hAnsiTheme="majorHAnsi" w:cstheme="majorHAnsi"/>
          <w:b/>
          <w:bCs/>
          <w:color w:val="0070C0"/>
          <w:sz w:val="32"/>
          <w:szCs w:val="32"/>
        </w:rPr>
        <w:t>ABRIDGED VOCABULARY TEMPLATE</w:t>
      </w:r>
    </w:p>
    <w:p w14:paraId="5691F9A1" w14:textId="77777777" w:rsidR="00C0717B" w:rsidRDefault="00C0717B" w:rsidP="00C0717B">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0717B" w:rsidRPr="003809CA" w14:paraId="7BF2BA35" w14:textId="77777777" w:rsidTr="0040678A">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22826F" w14:textId="77777777" w:rsidR="00C0717B" w:rsidRPr="003809CA" w:rsidRDefault="00C0717B" w:rsidP="0040678A">
            <w:pPr>
              <w:jc w:val="center"/>
            </w:pPr>
            <w:r w:rsidRPr="003809CA">
              <w:rPr>
                <w:rFonts w:ascii="Calibri" w:hAnsi="Calibri" w:cs="Calibri"/>
                <w:b/>
                <w:bCs/>
                <w:color w:val="000000"/>
              </w:rPr>
              <w:t>Term</w:t>
            </w:r>
            <w:r w:rsidRPr="003809CA">
              <w:rPr>
                <w:rFonts w:ascii="Calibri" w:hAnsi="Calibri" w:cs="Calibri"/>
                <w:color w:val="000000"/>
              </w:rPr>
              <w:t xml:space="preserve">: </w:t>
            </w:r>
          </w:p>
        </w:tc>
      </w:tr>
      <w:tr w:rsidR="00C0717B" w:rsidRPr="003809CA" w14:paraId="28F35AEA" w14:textId="77777777" w:rsidTr="004067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E73F3" w14:textId="77777777" w:rsidR="00C0717B" w:rsidRPr="003809CA" w:rsidRDefault="00C0717B" w:rsidP="0040678A">
            <w:pPr>
              <w:jc w:val="center"/>
            </w:pPr>
            <w:r w:rsidRPr="003809CA">
              <w:rPr>
                <w:rFonts w:ascii="Calibri" w:hAnsi="Calibri" w:cs="Calibri"/>
                <w:b/>
                <w:bCs/>
                <w:color w:val="000000"/>
              </w:rPr>
              <w:t>TEXTBOOK DEFINITION </w:t>
            </w:r>
          </w:p>
          <w:p w14:paraId="5612EBF2" w14:textId="77777777" w:rsidR="00C0717B" w:rsidRDefault="00C0717B" w:rsidP="0040678A"/>
          <w:p w14:paraId="2EF2855F" w14:textId="77777777" w:rsidR="00C0717B" w:rsidRPr="003809CA" w:rsidRDefault="00C0717B" w:rsidP="0040678A"/>
        </w:tc>
      </w:tr>
      <w:tr w:rsidR="00C0717B" w:rsidRPr="003809CA" w14:paraId="39953DEC" w14:textId="77777777" w:rsidTr="004067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38ED6" w14:textId="77777777" w:rsidR="00C0717B" w:rsidRPr="003809CA" w:rsidRDefault="00C0717B" w:rsidP="0040678A">
            <w:pPr>
              <w:jc w:val="center"/>
            </w:pPr>
            <w:r w:rsidRPr="003809CA">
              <w:rPr>
                <w:rFonts w:ascii="Calibri" w:hAnsi="Calibri" w:cs="Calibri"/>
                <w:b/>
                <w:bCs/>
                <w:color w:val="000000"/>
              </w:rPr>
              <w:t>SENTENCE/PICTURE/EXAMPLE/FORMULA</w:t>
            </w:r>
          </w:p>
          <w:p w14:paraId="0CBB7AB1" w14:textId="77777777" w:rsidR="00C0717B" w:rsidRDefault="00C0717B" w:rsidP="0040678A">
            <w:pPr>
              <w:jc w:val="center"/>
            </w:pPr>
          </w:p>
          <w:p w14:paraId="0F5E8EB4" w14:textId="77777777" w:rsidR="00C0717B" w:rsidRPr="003809CA" w:rsidRDefault="00C0717B" w:rsidP="0040678A">
            <w:pPr>
              <w:jc w:val="center"/>
            </w:pPr>
          </w:p>
        </w:tc>
      </w:tr>
    </w:tbl>
    <w:p w14:paraId="6D70CBD4" w14:textId="77777777" w:rsidR="008578E7" w:rsidRDefault="008578E7" w:rsidP="008578E7">
      <w:pPr>
        <w:rPr>
          <w:rFonts w:ascii="Candara" w:hAnsi="Candara"/>
          <w:highlight w:val="yellow"/>
          <w:u w:val="single"/>
        </w:rPr>
      </w:pPr>
    </w:p>
    <w:p w14:paraId="1B487E00" w14:textId="77777777" w:rsidR="008578E7" w:rsidRDefault="008578E7" w:rsidP="008578E7">
      <w:pPr>
        <w:rPr>
          <w:rFonts w:ascii="Candara" w:hAnsi="Candara"/>
        </w:rPr>
      </w:pPr>
      <w:r w:rsidRPr="00BB20C6">
        <w:rPr>
          <w:rFonts w:ascii="Candara" w:hAnsi="Candara"/>
          <w:highlight w:val="yellow"/>
          <w:u w:val="single"/>
        </w:rPr>
        <w:lastRenderedPageBreak/>
        <w:t>REMINDERS</w:t>
      </w:r>
      <w:r>
        <w:rPr>
          <w:rFonts w:ascii="Candara" w:hAnsi="Candara"/>
        </w:rPr>
        <w:t>:</w:t>
      </w:r>
    </w:p>
    <w:p w14:paraId="0BAAB9AE" w14:textId="15096463" w:rsidR="002B2E7C" w:rsidRPr="002B2E7C" w:rsidRDefault="002B2E7C" w:rsidP="008A61CF">
      <w:pPr>
        <w:pStyle w:val="ListParagraph"/>
        <w:numPr>
          <w:ilvl w:val="0"/>
          <w:numId w:val="24"/>
        </w:numPr>
        <w:rPr>
          <w:rFonts w:ascii="Candara" w:hAnsi="Candara"/>
          <w:b/>
        </w:rPr>
      </w:pPr>
      <w:r>
        <w:rPr>
          <w:rFonts w:ascii="Candara" w:hAnsi="Candara"/>
        </w:rPr>
        <w:t xml:space="preserve">Unit 1 Vocabulary </w:t>
      </w:r>
      <w:r w:rsidRPr="002B2E7C">
        <w:rPr>
          <w:rFonts w:ascii="Candara" w:hAnsi="Candara"/>
        </w:rPr>
        <w:sym w:font="Wingdings" w:char="F0E0"/>
      </w:r>
      <w:r>
        <w:rPr>
          <w:rFonts w:ascii="Candara" w:hAnsi="Candara"/>
        </w:rPr>
        <w:t xml:space="preserve"> Aug. 2</w:t>
      </w:r>
      <w:r w:rsidR="000D0298">
        <w:rPr>
          <w:rFonts w:ascii="Candara" w:hAnsi="Candara"/>
        </w:rPr>
        <w:t>5</w:t>
      </w:r>
    </w:p>
    <w:p w14:paraId="4DF5C548" w14:textId="414ED489" w:rsidR="002B2E7C" w:rsidRPr="002B2E7C" w:rsidRDefault="002B2E7C" w:rsidP="008A61CF">
      <w:pPr>
        <w:pStyle w:val="ListParagraph"/>
        <w:numPr>
          <w:ilvl w:val="0"/>
          <w:numId w:val="24"/>
        </w:numPr>
        <w:rPr>
          <w:rFonts w:ascii="Candara" w:hAnsi="Candara"/>
          <w:b/>
        </w:rPr>
      </w:pPr>
      <w:r>
        <w:rPr>
          <w:rFonts w:ascii="Candara" w:hAnsi="Candara"/>
        </w:rPr>
        <w:t xml:space="preserve">Unit 1 Notes </w:t>
      </w:r>
      <w:r w:rsidRPr="002B2E7C">
        <w:rPr>
          <w:rFonts w:ascii="Candara" w:hAnsi="Candara"/>
        </w:rPr>
        <w:sym w:font="Wingdings" w:char="F0E0"/>
      </w:r>
      <w:r>
        <w:rPr>
          <w:rFonts w:ascii="Candara" w:hAnsi="Candara"/>
        </w:rPr>
        <w:t xml:space="preserve"> </w:t>
      </w:r>
      <w:r w:rsidR="008039D7">
        <w:rPr>
          <w:rFonts w:ascii="Candara" w:hAnsi="Candara"/>
        </w:rPr>
        <w:t>Aug. 29</w:t>
      </w:r>
    </w:p>
    <w:p w14:paraId="5094F4CA" w14:textId="3911F7C0" w:rsidR="00C53973" w:rsidRDefault="008039D7" w:rsidP="002B2E7C">
      <w:pPr>
        <w:pStyle w:val="ListParagraph"/>
        <w:numPr>
          <w:ilvl w:val="0"/>
          <w:numId w:val="24"/>
        </w:numPr>
        <w:rPr>
          <w:rFonts w:ascii="Candara" w:hAnsi="Candara"/>
          <w:b/>
          <w:bCs/>
        </w:rPr>
      </w:pPr>
      <w:r w:rsidRPr="008039D7">
        <w:rPr>
          <w:rFonts w:ascii="Candara" w:hAnsi="Candara"/>
          <w:b/>
          <w:bCs/>
          <w:color w:val="C00000"/>
        </w:rPr>
        <w:t>QUIZ</w:t>
      </w:r>
      <w:r w:rsidRPr="008039D7">
        <w:rPr>
          <w:rFonts w:ascii="Candara" w:hAnsi="Candara"/>
        </w:rPr>
        <w:t>:</w:t>
      </w:r>
      <w:r w:rsidRPr="008039D7">
        <w:rPr>
          <w:rFonts w:ascii="Candara" w:hAnsi="Candara"/>
          <w:b/>
          <w:bCs/>
        </w:rPr>
        <w:t xml:space="preserve"> APA </w:t>
      </w:r>
      <w:r w:rsidRPr="008039D7">
        <w:rPr>
          <w:rFonts w:ascii="Candara" w:hAnsi="Candara"/>
          <w:b/>
          <w:bCs/>
        </w:rPr>
        <w:sym w:font="Wingdings" w:char="F0E0"/>
      </w:r>
      <w:r w:rsidRPr="008039D7">
        <w:rPr>
          <w:rFonts w:ascii="Candara" w:hAnsi="Candara"/>
          <w:b/>
          <w:bCs/>
        </w:rPr>
        <w:t xml:space="preserve"> August 26</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0D4A152F" w14:textId="446C36AF" w:rsidR="008039D7" w:rsidRPr="00C53973" w:rsidRDefault="008039D7" w:rsidP="002B2E7C">
      <w:pPr>
        <w:pStyle w:val="ListParagraph"/>
        <w:numPr>
          <w:ilvl w:val="0"/>
          <w:numId w:val="24"/>
        </w:numPr>
        <w:rPr>
          <w:rFonts w:ascii="Candara" w:hAnsi="Candara"/>
          <w:b/>
        </w:rPr>
      </w:pPr>
      <w:r w:rsidRPr="008039D7">
        <w:rPr>
          <w:rFonts w:ascii="Candara" w:hAnsi="Candara"/>
          <w:b/>
          <w:bCs/>
          <w:color w:val="C00000"/>
        </w:rPr>
        <w:t>TEST</w:t>
      </w:r>
      <w:r>
        <w:rPr>
          <w:rFonts w:ascii="Candara" w:hAnsi="Candara"/>
        </w:rPr>
        <w:t xml:space="preserve">:  Unit 1 </w:t>
      </w:r>
      <w:r w:rsidRPr="008039D7">
        <w:rPr>
          <w:rFonts w:ascii="Candara" w:hAnsi="Candara"/>
          <w:b/>
          <w:bCs/>
          <w:highlight w:val="yellow"/>
        </w:rPr>
        <w:sym w:font="Wingdings" w:char="F0E0"/>
      </w:r>
      <w:r w:rsidRPr="008039D7">
        <w:rPr>
          <w:rFonts w:ascii="Candara" w:hAnsi="Candara"/>
          <w:b/>
          <w:bCs/>
          <w:highlight w:val="yellow"/>
        </w:rPr>
        <w:t xml:space="preserve"> Sept. 2</w:t>
      </w:r>
    </w:p>
    <w:p w14:paraId="7D7FCB9C" w14:textId="183E21C0" w:rsidR="0040347F" w:rsidRDefault="0040347F">
      <w:pPr>
        <w:spacing w:after="160" w:line="259" w:lineRule="auto"/>
        <w:rPr>
          <w:rFonts w:ascii="Candara" w:hAnsi="Candara"/>
          <w:b/>
          <w:color w:val="0000FF"/>
          <w:sz w:val="28"/>
          <w:szCs w:val="28"/>
        </w:rPr>
      </w:pPr>
      <w:r>
        <w:rPr>
          <w:rFonts w:ascii="Candara" w:hAnsi="Candara"/>
          <w:b/>
          <w:color w:val="0000FF"/>
          <w:sz w:val="28"/>
          <w:szCs w:val="28"/>
        </w:rPr>
        <w:br w:type="page"/>
      </w:r>
    </w:p>
    <w:p w14:paraId="64D63A8D" w14:textId="38009689" w:rsidR="0040347F" w:rsidRPr="00FA47D7" w:rsidRDefault="0040347F" w:rsidP="0040347F">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ACTIVITY</w:t>
      </w:r>
    </w:p>
    <w:p w14:paraId="09912E2F" w14:textId="77777777" w:rsidR="0040347F" w:rsidRPr="00FA47D7" w:rsidRDefault="00000000" w:rsidP="0040347F">
      <w:pPr>
        <w:rPr>
          <w:rFonts w:ascii="Candara" w:hAnsi="Candara"/>
          <w:color w:val="7030A0"/>
        </w:rPr>
      </w:pPr>
      <w:r>
        <w:rPr>
          <w:rFonts w:ascii="Candara" w:hAnsi="Candara"/>
          <w:color w:val="7030A0"/>
        </w:rPr>
        <w:pict w14:anchorId="27723E8C">
          <v:rect id="_x0000_i1027" style="width:0;height:1.5pt" o:hralign="center" o:hrstd="t" o:hr="t" fillcolor="#aca899" stroked="f"/>
        </w:pict>
      </w:r>
    </w:p>
    <w:p w14:paraId="21A57753" w14:textId="560EFC0F" w:rsidR="0040347F" w:rsidRDefault="0040347F" w:rsidP="0040347F">
      <w:pPr>
        <w:jc w:val="center"/>
        <w:rPr>
          <w:rFonts w:asciiTheme="majorHAnsi" w:hAnsiTheme="majorHAnsi" w:cstheme="majorHAnsi"/>
          <w:b/>
          <w:bCs/>
          <w:color w:val="0070C0"/>
          <w:sz w:val="28"/>
          <w:szCs w:val="28"/>
        </w:rPr>
      </w:pPr>
      <w:r w:rsidRPr="0040347F">
        <w:rPr>
          <w:rFonts w:asciiTheme="majorHAnsi" w:hAnsiTheme="majorHAnsi" w:cstheme="majorHAnsi"/>
          <w:b/>
          <w:bCs/>
          <w:color w:val="0070C0"/>
          <w:sz w:val="28"/>
          <w:szCs w:val="28"/>
        </w:rPr>
        <w:t>APA REFERENCING EXERCISES</w:t>
      </w:r>
    </w:p>
    <w:p w14:paraId="11C14C85" w14:textId="77777777" w:rsidR="00445B27" w:rsidRDefault="00445B27" w:rsidP="0040347F"/>
    <w:p w14:paraId="17E8B76C" w14:textId="3FA1553F" w:rsidR="0040347F" w:rsidRPr="00445B27" w:rsidRDefault="00445B27" w:rsidP="0040347F">
      <w:pPr>
        <w:rPr>
          <w:rFonts w:asciiTheme="majorHAnsi" w:hAnsiTheme="majorHAnsi" w:cstheme="majorHAnsi"/>
        </w:rPr>
      </w:pPr>
      <w:r w:rsidRPr="00445B27">
        <w:rPr>
          <w:rFonts w:asciiTheme="majorHAnsi" w:hAnsiTheme="majorHAnsi" w:cstheme="majorHAnsi"/>
        </w:rPr>
        <w:t>Work individually or with a partner/group.</w:t>
      </w:r>
    </w:p>
    <w:p w14:paraId="2B501DF1" w14:textId="3B99680A" w:rsidR="00445B27" w:rsidRPr="00445B27" w:rsidRDefault="00445B27" w:rsidP="0040347F">
      <w:pPr>
        <w:rPr>
          <w:rFonts w:asciiTheme="majorHAnsi" w:hAnsiTheme="majorHAnsi" w:cstheme="majorHAnsi"/>
        </w:rPr>
      </w:pPr>
    </w:p>
    <w:p w14:paraId="07391809" w14:textId="6A9E5C44" w:rsidR="00445B27" w:rsidRPr="00445B27" w:rsidRDefault="00445B27" w:rsidP="0040347F">
      <w:pPr>
        <w:rPr>
          <w:rFonts w:asciiTheme="majorHAnsi" w:hAnsiTheme="majorHAnsi" w:cstheme="majorHAnsi"/>
          <w:b/>
          <w:bCs/>
          <w:color w:val="0070C0"/>
        </w:rPr>
      </w:pPr>
      <w:r w:rsidRPr="00445B27">
        <w:rPr>
          <w:rFonts w:asciiTheme="majorHAnsi" w:hAnsiTheme="majorHAnsi" w:cstheme="majorHAnsi"/>
          <w:b/>
          <w:bCs/>
          <w:color w:val="0070C0"/>
        </w:rPr>
        <w:t>In-text Referencing</w:t>
      </w:r>
    </w:p>
    <w:p w14:paraId="1DD7255D" w14:textId="3C6370C1" w:rsidR="00445B27" w:rsidRDefault="00445B27" w:rsidP="0040347F">
      <w:pPr>
        <w:rPr>
          <w:rFonts w:asciiTheme="majorHAnsi" w:hAnsiTheme="majorHAnsi" w:cstheme="majorHAnsi"/>
        </w:rPr>
      </w:pPr>
      <w:r w:rsidRPr="00445B27">
        <w:rPr>
          <w:rFonts w:asciiTheme="majorHAnsi" w:hAnsiTheme="majorHAnsi" w:cstheme="majorHAnsi"/>
        </w:rPr>
        <w:t>Find and correct the errors in the following in-text citations according to APA referencing conventions.</w:t>
      </w:r>
    </w:p>
    <w:p w14:paraId="4DE95F19" w14:textId="179C5FEA" w:rsidR="00445B27" w:rsidRPr="00445B27" w:rsidRDefault="00445B27" w:rsidP="0040347F">
      <w:pPr>
        <w:rPr>
          <w:rFonts w:asciiTheme="majorHAnsi" w:hAnsiTheme="majorHAnsi" w:cstheme="majorHAnsi"/>
        </w:rPr>
      </w:pPr>
      <w:r w:rsidRPr="00445B27">
        <w:rPr>
          <w:rFonts w:asciiTheme="majorHAnsi" w:hAnsiTheme="majorHAnsi" w:cstheme="majorHAnsi"/>
          <w:noProof/>
        </w:rPr>
        <w:drawing>
          <wp:inline distT="0" distB="0" distL="0" distR="0" wp14:anchorId="651863E1" wp14:editId="73BCA0B4">
            <wp:extent cx="5925377" cy="2286319"/>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5925377" cy="2286319"/>
                    </a:xfrm>
                    <a:prstGeom prst="rect">
                      <a:avLst/>
                    </a:prstGeom>
                  </pic:spPr>
                </pic:pic>
              </a:graphicData>
            </a:graphic>
          </wp:inline>
        </w:drawing>
      </w:r>
    </w:p>
    <w:p w14:paraId="604FF876" w14:textId="76FBA6C6" w:rsidR="00445B27" w:rsidRPr="00445B27" w:rsidRDefault="00445B27" w:rsidP="0040347F">
      <w:pPr>
        <w:rPr>
          <w:rFonts w:asciiTheme="majorHAnsi" w:hAnsiTheme="majorHAnsi" w:cstheme="majorHAnsi"/>
        </w:rPr>
      </w:pPr>
    </w:p>
    <w:p w14:paraId="5919748D" w14:textId="77777777" w:rsidR="00445B27" w:rsidRDefault="00445B27" w:rsidP="0040347F">
      <w:pPr>
        <w:rPr>
          <w:rFonts w:asciiTheme="majorHAnsi" w:hAnsiTheme="majorHAnsi" w:cstheme="majorHAnsi"/>
          <w:b/>
          <w:bCs/>
          <w:color w:val="0070C0"/>
        </w:rPr>
      </w:pPr>
    </w:p>
    <w:p w14:paraId="2F39E6F4" w14:textId="75223E11" w:rsidR="00445B27" w:rsidRPr="00445B27" w:rsidRDefault="00445B27" w:rsidP="0040347F">
      <w:pPr>
        <w:rPr>
          <w:rFonts w:asciiTheme="majorHAnsi" w:hAnsiTheme="majorHAnsi" w:cstheme="majorHAnsi"/>
          <w:b/>
          <w:bCs/>
          <w:color w:val="0070C0"/>
        </w:rPr>
      </w:pPr>
      <w:r w:rsidRPr="00445B27">
        <w:rPr>
          <w:rFonts w:asciiTheme="majorHAnsi" w:hAnsiTheme="majorHAnsi" w:cstheme="majorHAnsi"/>
          <w:b/>
          <w:bCs/>
          <w:color w:val="0070C0"/>
        </w:rPr>
        <w:t>Reference Lists</w:t>
      </w:r>
    </w:p>
    <w:p w14:paraId="1DC41589" w14:textId="266DFDCC" w:rsidR="00445B27" w:rsidRDefault="00445B27" w:rsidP="0040347F">
      <w:r w:rsidRPr="00445B27">
        <w:rPr>
          <w:rFonts w:asciiTheme="majorHAnsi" w:hAnsiTheme="majorHAnsi" w:cstheme="majorHAnsi"/>
        </w:rPr>
        <w:t>Find and correct the errors in this reference list according to APA referencing conventions</w:t>
      </w:r>
      <w:r>
        <w:t>.</w:t>
      </w:r>
    </w:p>
    <w:p w14:paraId="64AE3DDE" w14:textId="0B8867C9" w:rsidR="00445B27" w:rsidRDefault="00445B27" w:rsidP="0040347F"/>
    <w:p w14:paraId="0B024059" w14:textId="6D4C58AA" w:rsidR="00445B27" w:rsidRPr="0040347F" w:rsidRDefault="00445B27" w:rsidP="0040347F">
      <w:pPr>
        <w:rPr>
          <w:rFonts w:asciiTheme="majorHAnsi" w:hAnsiTheme="majorHAnsi" w:cstheme="majorHAnsi"/>
          <w:b/>
          <w:bCs/>
          <w:color w:val="0070C0"/>
          <w:sz w:val="28"/>
          <w:szCs w:val="28"/>
        </w:rPr>
      </w:pPr>
      <w:r w:rsidRPr="00445B27">
        <w:rPr>
          <w:rFonts w:asciiTheme="majorHAnsi" w:hAnsiTheme="majorHAnsi" w:cstheme="majorHAnsi"/>
          <w:b/>
          <w:bCs/>
          <w:noProof/>
          <w:color w:val="0070C0"/>
          <w:sz w:val="28"/>
          <w:szCs w:val="28"/>
        </w:rPr>
        <w:drawing>
          <wp:inline distT="0" distB="0" distL="0" distR="0" wp14:anchorId="24F26ECC" wp14:editId="03914987">
            <wp:extent cx="5915851" cy="3029373"/>
            <wp:effectExtent l="0" t="0" r="889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5915851" cy="3029373"/>
                    </a:xfrm>
                    <a:prstGeom prst="rect">
                      <a:avLst/>
                    </a:prstGeom>
                  </pic:spPr>
                </pic:pic>
              </a:graphicData>
            </a:graphic>
          </wp:inline>
        </w:drawing>
      </w:r>
    </w:p>
    <w:p w14:paraId="22A17780" w14:textId="06FED090" w:rsidR="00AA3026" w:rsidRDefault="00AA3026" w:rsidP="0075424D">
      <w:pPr>
        <w:spacing w:after="160" w:line="259" w:lineRule="auto"/>
        <w:rPr>
          <w:rFonts w:ascii="Candara" w:hAnsi="Candara"/>
          <w:b/>
          <w:color w:val="0000FF"/>
          <w:sz w:val="28"/>
          <w:szCs w:val="28"/>
        </w:rPr>
      </w:pPr>
    </w:p>
    <w:p w14:paraId="7893D550" w14:textId="2D25256C" w:rsidR="00483346" w:rsidRDefault="00483346">
      <w:pPr>
        <w:spacing w:after="160" w:line="259" w:lineRule="auto"/>
        <w:rPr>
          <w:rFonts w:ascii="Candara" w:hAnsi="Candara"/>
          <w:b/>
          <w:color w:val="0000FF"/>
          <w:sz w:val="28"/>
          <w:szCs w:val="28"/>
        </w:rPr>
      </w:pPr>
      <w:r>
        <w:rPr>
          <w:rFonts w:ascii="Candara" w:hAnsi="Candara"/>
          <w:b/>
          <w:color w:val="0000FF"/>
          <w:sz w:val="28"/>
          <w:szCs w:val="28"/>
        </w:rPr>
        <w:br w:type="page"/>
      </w:r>
    </w:p>
    <w:p w14:paraId="37E10583" w14:textId="1C8BB84C"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28"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w:t>
      </w: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29"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w:t>
      </w:r>
      <w:proofErr w:type="gramStart"/>
      <w:r>
        <w:rPr>
          <w:rFonts w:asciiTheme="minorHAnsi" w:hAnsiTheme="minorHAnsi" w:cstheme="minorHAnsi"/>
          <w:color w:val="44546A" w:themeColor="text2"/>
          <w:sz w:val="22"/>
          <w:szCs w:val="22"/>
        </w:rPr>
        <w:t>a number of</w:t>
      </w:r>
      <w:proofErr w:type="gramEnd"/>
      <w:r>
        <w:rPr>
          <w:rFonts w:asciiTheme="minorHAnsi" w:hAnsiTheme="minorHAnsi" w:cstheme="minorHAnsi"/>
          <w:color w:val="44546A" w:themeColor="text2"/>
          <w:sz w:val="22"/>
          <w:szCs w:val="22"/>
        </w:rPr>
        <w:t xml:space="preserve">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r>
      <w:proofErr w:type="gramStart"/>
      <w:r>
        <w:rPr>
          <w:rFonts w:asciiTheme="minorHAnsi" w:hAnsiTheme="minorHAnsi" w:cstheme="minorHAnsi"/>
          <w:color w:val="44546A" w:themeColor="text2"/>
          <w:sz w:val="22"/>
          <w:szCs w:val="22"/>
        </w:rPr>
        <w:t xml:space="preserve">1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proofErr w:type="gramStart"/>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r</w:t>
      </w:r>
      <w:proofErr w:type="gramEnd"/>
      <w:r>
        <w:rPr>
          <w:rFonts w:asciiTheme="minorHAnsi" w:hAnsiTheme="minorHAnsi" w:cstheme="minorHAnsi"/>
          <w:color w:val="44546A" w:themeColor="text2"/>
          <w:sz w:val="22"/>
        </w:rPr>
        <w:t xml:space="preserve">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6B22" w14:textId="77777777" w:rsidR="000935D6" w:rsidRDefault="000935D6" w:rsidP="00AA3026">
      <w:r>
        <w:separator/>
      </w:r>
    </w:p>
  </w:endnote>
  <w:endnote w:type="continuationSeparator" w:id="0">
    <w:p w14:paraId="282F622C" w14:textId="77777777" w:rsidR="000935D6" w:rsidRDefault="000935D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A699" w14:textId="77777777" w:rsidR="000935D6" w:rsidRDefault="000935D6" w:rsidP="00AA3026">
      <w:r>
        <w:separator/>
      </w:r>
    </w:p>
  </w:footnote>
  <w:footnote w:type="continuationSeparator" w:id="0">
    <w:p w14:paraId="7DD35C5C" w14:textId="77777777" w:rsidR="000935D6" w:rsidRDefault="000935D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28"/>
  </w:num>
  <w:num w:numId="5" w16cid:durableId="1905480934">
    <w:abstractNumId w:val="14"/>
  </w:num>
  <w:num w:numId="6" w16cid:durableId="1352679990">
    <w:abstractNumId w:val="5"/>
  </w:num>
  <w:num w:numId="7" w16cid:durableId="2053070070">
    <w:abstractNumId w:val="16"/>
  </w:num>
  <w:num w:numId="8" w16cid:durableId="2024550412">
    <w:abstractNumId w:val="24"/>
  </w:num>
  <w:num w:numId="9" w16cid:durableId="1050542497">
    <w:abstractNumId w:val="19"/>
  </w:num>
  <w:num w:numId="10" w16cid:durableId="2065330332">
    <w:abstractNumId w:val="22"/>
  </w:num>
  <w:num w:numId="11" w16cid:durableId="129906557">
    <w:abstractNumId w:val="11"/>
  </w:num>
  <w:num w:numId="12" w16cid:durableId="1765951098">
    <w:abstractNumId w:val="13"/>
  </w:num>
  <w:num w:numId="13" w16cid:durableId="2102220576">
    <w:abstractNumId w:val="12"/>
  </w:num>
  <w:num w:numId="14" w16cid:durableId="1617447250">
    <w:abstractNumId w:val="26"/>
  </w:num>
  <w:num w:numId="15" w16cid:durableId="1247230819">
    <w:abstractNumId w:val="17"/>
  </w:num>
  <w:num w:numId="16" w16cid:durableId="1347900174">
    <w:abstractNumId w:val="3"/>
  </w:num>
  <w:num w:numId="17" w16cid:durableId="2097509534">
    <w:abstractNumId w:val="29"/>
  </w:num>
  <w:num w:numId="18" w16cid:durableId="1647515773">
    <w:abstractNumId w:val="7"/>
  </w:num>
  <w:num w:numId="19" w16cid:durableId="2131625186">
    <w:abstractNumId w:val="27"/>
  </w:num>
  <w:num w:numId="20" w16cid:durableId="889223372">
    <w:abstractNumId w:val="8"/>
  </w:num>
  <w:num w:numId="21" w16cid:durableId="1292057277">
    <w:abstractNumId w:val="10"/>
  </w:num>
  <w:num w:numId="22" w16cid:durableId="1848591564">
    <w:abstractNumId w:val="25"/>
  </w:num>
  <w:num w:numId="23" w16cid:durableId="1822772995">
    <w:abstractNumId w:val="23"/>
  </w:num>
  <w:num w:numId="24" w16cid:durableId="265581950">
    <w:abstractNumId w:val="4"/>
  </w:num>
  <w:num w:numId="25" w16cid:durableId="451024075">
    <w:abstractNumId w:val="18"/>
  </w:num>
  <w:num w:numId="26" w16cid:durableId="833300523">
    <w:abstractNumId w:val="21"/>
  </w:num>
  <w:num w:numId="27" w16cid:durableId="1091858502">
    <w:abstractNumId w:val="15"/>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90167"/>
    <w:rsid w:val="000935D6"/>
    <w:rsid w:val="000D0298"/>
    <w:rsid w:val="000F4657"/>
    <w:rsid w:val="000F4E3B"/>
    <w:rsid w:val="00103336"/>
    <w:rsid w:val="00163D12"/>
    <w:rsid w:val="00171FD7"/>
    <w:rsid w:val="001964F8"/>
    <w:rsid w:val="001B1635"/>
    <w:rsid w:val="00241584"/>
    <w:rsid w:val="00252457"/>
    <w:rsid w:val="00256702"/>
    <w:rsid w:val="00282164"/>
    <w:rsid w:val="002A67FC"/>
    <w:rsid w:val="002B2E7C"/>
    <w:rsid w:val="002C1303"/>
    <w:rsid w:val="002C20D3"/>
    <w:rsid w:val="002E0064"/>
    <w:rsid w:val="00360ADA"/>
    <w:rsid w:val="003647B7"/>
    <w:rsid w:val="00367E1C"/>
    <w:rsid w:val="00374A39"/>
    <w:rsid w:val="003A1E54"/>
    <w:rsid w:val="003B7F37"/>
    <w:rsid w:val="003E1560"/>
    <w:rsid w:val="0040347F"/>
    <w:rsid w:val="004233BA"/>
    <w:rsid w:val="00445B27"/>
    <w:rsid w:val="00462CC7"/>
    <w:rsid w:val="00483346"/>
    <w:rsid w:val="004D13F9"/>
    <w:rsid w:val="004D20BC"/>
    <w:rsid w:val="00512CE0"/>
    <w:rsid w:val="00550FDD"/>
    <w:rsid w:val="00575207"/>
    <w:rsid w:val="0058661D"/>
    <w:rsid w:val="007055BB"/>
    <w:rsid w:val="0075424D"/>
    <w:rsid w:val="00770D45"/>
    <w:rsid w:val="00794FD8"/>
    <w:rsid w:val="007A163F"/>
    <w:rsid w:val="007B3B7B"/>
    <w:rsid w:val="008039D7"/>
    <w:rsid w:val="008578E7"/>
    <w:rsid w:val="00871859"/>
    <w:rsid w:val="00874E0A"/>
    <w:rsid w:val="008A61CF"/>
    <w:rsid w:val="008C0289"/>
    <w:rsid w:val="008C1508"/>
    <w:rsid w:val="00940690"/>
    <w:rsid w:val="00991BE4"/>
    <w:rsid w:val="00993388"/>
    <w:rsid w:val="00A64309"/>
    <w:rsid w:val="00A7128F"/>
    <w:rsid w:val="00AA3026"/>
    <w:rsid w:val="00BE797B"/>
    <w:rsid w:val="00C0717B"/>
    <w:rsid w:val="00C43A93"/>
    <w:rsid w:val="00C53973"/>
    <w:rsid w:val="00C628A6"/>
    <w:rsid w:val="00C87725"/>
    <w:rsid w:val="00C8774F"/>
    <w:rsid w:val="00C93366"/>
    <w:rsid w:val="00C9405A"/>
    <w:rsid w:val="00CD2372"/>
    <w:rsid w:val="00CE0053"/>
    <w:rsid w:val="00D05B33"/>
    <w:rsid w:val="00D15915"/>
    <w:rsid w:val="00D53973"/>
    <w:rsid w:val="00D708EF"/>
    <w:rsid w:val="00D97A45"/>
    <w:rsid w:val="00DA0017"/>
    <w:rsid w:val="00DC0E57"/>
    <w:rsid w:val="00DE0053"/>
    <w:rsid w:val="00E024DD"/>
    <w:rsid w:val="00E808E5"/>
    <w:rsid w:val="00EC2F0A"/>
    <w:rsid w:val="00EF7B39"/>
    <w:rsid w:val="00F11635"/>
    <w:rsid w:val="00F11F84"/>
    <w:rsid w:val="00F20061"/>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2960</TotalTime>
  <Pages>8</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2022-08-19T18:24:00Z</dcterms:created>
  <dcterms:modified xsi:type="dcterms:W3CDTF">2022-08-21T20:58:00Z</dcterms:modified>
</cp:coreProperties>
</file>