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04B5CAD"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2780E">
        <w:rPr>
          <w:rFonts w:ascii="Candara" w:hAnsi="Candara"/>
          <w:b/>
          <w:color w:val="7030A0"/>
        </w:rPr>
        <w:t xml:space="preserve">September </w:t>
      </w:r>
      <w:r w:rsidR="003D2257">
        <w:rPr>
          <w:rFonts w:ascii="Candara" w:hAnsi="Candara"/>
          <w:b/>
          <w:color w:val="7030A0"/>
        </w:rPr>
        <w:t>20</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47AD62B" w:rsidR="00241584" w:rsidRPr="008342CC" w:rsidRDefault="0075424D" w:rsidP="00241584">
      <w:pPr>
        <w:rPr>
          <w:rFonts w:ascii="Candara" w:hAnsi="Candara"/>
          <w:b/>
          <w:color w:val="003366"/>
        </w:rPr>
      </w:pPr>
      <w:r>
        <w:rPr>
          <w:rFonts w:ascii="Candara" w:hAnsi="Candara"/>
          <w:b/>
          <w:color w:val="003366"/>
        </w:rPr>
        <w:t xml:space="preserve">Today’s Agenda (Day </w:t>
      </w:r>
      <w:r w:rsidR="00952D72">
        <w:rPr>
          <w:rFonts w:ascii="Candara" w:hAnsi="Candara"/>
          <w:b/>
          <w:color w:val="003366"/>
        </w:rPr>
        <w:t>2</w:t>
      </w:r>
      <w:r w:rsidR="003D2257">
        <w:rPr>
          <w:rFonts w:ascii="Candara" w:hAnsi="Candara"/>
          <w:b/>
          <w:color w:val="003366"/>
        </w:rPr>
        <w:t>4</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4C10405C"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8B252D">
        <w:rPr>
          <w:rFonts w:ascii="Candara" w:hAnsi="Candara"/>
        </w:rPr>
        <w:t>Unit 3 Vocabulary</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1F06AE4E" w14:textId="4D129CFA"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8B252D">
        <w:rPr>
          <w:rFonts w:ascii="Candara" w:hAnsi="Candara"/>
          <w:color w:val="003366"/>
        </w:rPr>
        <w:t>DAY 1</w:t>
      </w:r>
      <w:r>
        <w:rPr>
          <w:rFonts w:ascii="Candara" w:hAnsi="Candara"/>
          <w:color w:val="003366"/>
        </w:rPr>
        <w:t xml:space="preserve">: </w:t>
      </w:r>
      <w:r w:rsidRPr="00F277AA">
        <w:rPr>
          <w:rFonts w:ascii="Candara" w:hAnsi="Candara"/>
          <w:bCs/>
          <w:color w:val="003366"/>
        </w:rPr>
        <w:t>Unit 3 PPT Review</w:t>
      </w:r>
    </w:p>
    <w:p w14:paraId="5E59AFB0" w14:textId="77777777" w:rsidR="00F277AA" w:rsidRPr="008B252D" w:rsidRDefault="00F277AA" w:rsidP="00F277AA">
      <w:pPr>
        <w:pStyle w:val="ListParagraph"/>
        <w:numPr>
          <w:ilvl w:val="0"/>
          <w:numId w:val="34"/>
        </w:numPr>
        <w:rPr>
          <w:rFonts w:ascii="Candara" w:hAnsi="Candara"/>
          <w:b/>
          <w:bCs/>
          <w:color w:val="7030A0"/>
        </w:rPr>
      </w:pPr>
      <w:r w:rsidRPr="008B252D">
        <w:rPr>
          <w:rFonts w:ascii="Candara" w:hAnsi="Candara"/>
          <w:b/>
          <w:bCs/>
          <w:color w:val="7030A0"/>
        </w:rPr>
        <w:t>Module 9 – Biological psychology and neurotransmission</w:t>
      </w:r>
    </w:p>
    <w:p w14:paraId="31B5EC79" w14:textId="77777777" w:rsidR="00F277AA" w:rsidRPr="008B252D" w:rsidRDefault="00F277AA" w:rsidP="00F277AA">
      <w:pPr>
        <w:pStyle w:val="ListParagraph"/>
        <w:numPr>
          <w:ilvl w:val="0"/>
          <w:numId w:val="34"/>
        </w:numPr>
        <w:rPr>
          <w:rFonts w:ascii="Candara" w:hAnsi="Candara"/>
          <w:b/>
          <w:bCs/>
          <w:color w:val="7030A0"/>
        </w:rPr>
      </w:pPr>
      <w:r w:rsidRPr="008B252D">
        <w:rPr>
          <w:rFonts w:ascii="Candara" w:hAnsi="Candara"/>
          <w:b/>
          <w:bCs/>
          <w:color w:val="7030A0"/>
        </w:rPr>
        <w:t>Module 10 – The nervous and endocrine systems</w:t>
      </w:r>
    </w:p>
    <w:p w14:paraId="2B3DA943"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11 – Studying the brain, and older brain structures</w:t>
      </w:r>
    </w:p>
    <w:p w14:paraId="779337DE"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12 – The cerebral cortex</w:t>
      </w:r>
    </w:p>
    <w:p w14:paraId="65D33941"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01E8A30F" w:rsidR="00683DE2" w:rsidRPr="0064706E" w:rsidRDefault="00F277AA" w:rsidP="0064706E">
      <w:pPr>
        <w:rPr>
          <w:rFonts w:ascii="Candara" w:hAnsi="Candara"/>
          <w:color w:val="003366"/>
        </w:rPr>
      </w:pPr>
      <w:r>
        <w:rPr>
          <w:rFonts w:ascii="Candara" w:hAnsi="Candara"/>
          <w:color w:val="003366"/>
        </w:rPr>
        <w:t xml:space="preserve"> </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6E12DBD4" w:rsidR="002B2E7C" w:rsidRDefault="002B2E7C" w:rsidP="008578E7">
      <w:pPr>
        <w:pStyle w:val="ListParagraph"/>
        <w:numPr>
          <w:ilvl w:val="0"/>
          <w:numId w:val="24"/>
        </w:numPr>
        <w:rPr>
          <w:rFonts w:ascii="Candara" w:hAnsi="Candara"/>
        </w:rPr>
      </w:pPr>
      <w:r>
        <w:rPr>
          <w:rFonts w:ascii="Candara" w:hAnsi="Candara"/>
        </w:rPr>
        <w:t xml:space="preserve">COMPLETE: </w:t>
      </w:r>
    </w:p>
    <w:p w14:paraId="60545628" w14:textId="092D6864"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 Vocabulary and</w:t>
      </w:r>
      <w:r w:rsidR="00F20061">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7932292" w14:textId="41193C3E" w:rsidR="00F64FE6" w:rsidRPr="00F64FE6" w:rsidRDefault="00F64FE6" w:rsidP="00705E04">
      <w:pPr>
        <w:pStyle w:val="ListParagraph"/>
        <w:numPr>
          <w:ilvl w:val="0"/>
          <w:numId w:val="24"/>
        </w:numPr>
        <w:rPr>
          <w:rFonts w:ascii="Candara" w:hAnsi="Candara"/>
          <w:b/>
          <w:bCs/>
        </w:rPr>
      </w:pPr>
      <w:r>
        <w:rPr>
          <w:rFonts w:ascii="Candara" w:hAnsi="Candara"/>
          <w:b/>
          <w:bCs/>
          <w:color w:val="C00000"/>
        </w:rPr>
        <w:t>QUIZ</w:t>
      </w:r>
      <w:r w:rsidRPr="000F423B">
        <w:rPr>
          <w:rFonts w:ascii="Candara" w:hAnsi="Candara"/>
          <w:b/>
          <w:bCs/>
          <w:color w:val="C00000"/>
        </w:rPr>
        <w:t xml:space="preserve">: </w:t>
      </w:r>
      <w:r w:rsidRPr="000F423B">
        <w:rPr>
          <w:rFonts w:ascii="Candara" w:hAnsi="Candara"/>
        </w:rPr>
        <w:t xml:space="preserve">Unit </w:t>
      </w:r>
      <w:r>
        <w:rPr>
          <w:rFonts w:ascii="Candara" w:hAnsi="Candara"/>
        </w:rPr>
        <w:t>3 Vocabulary</w:t>
      </w:r>
      <w:r w:rsidRPr="000F423B">
        <w:rPr>
          <w:rFonts w:ascii="Candara" w:hAnsi="Candara"/>
        </w:rPr>
        <w:t xml:space="preserve"> </w:t>
      </w:r>
      <w:r w:rsidRPr="00F64FE6">
        <w:rPr>
          <w:rFonts w:ascii="Candara" w:hAnsi="Candara"/>
          <w:b/>
          <w:bCs/>
        </w:rPr>
        <w:sym w:font="Wingdings" w:char="F0E0"/>
      </w:r>
      <w:r w:rsidRPr="00F64FE6">
        <w:rPr>
          <w:rFonts w:ascii="Candara" w:hAnsi="Candara"/>
          <w:b/>
          <w:bCs/>
        </w:rPr>
        <w:t xml:space="preserve"> Sept. 2</w:t>
      </w:r>
      <w:r w:rsidR="003D2257">
        <w:rPr>
          <w:rFonts w:ascii="Candara" w:hAnsi="Candara"/>
          <w:b/>
          <w:bCs/>
        </w:rPr>
        <w:t>3</w:t>
      </w:r>
    </w:p>
    <w:p w14:paraId="607DE435" w14:textId="02C480F0" w:rsidR="00F64FE6" w:rsidRPr="00705E04"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Sept. 28</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lead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yelling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D6C4" w14:textId="77777777" w:rsidR="000C546D" w:rsidRDefault="000C546D" w:rsidP="00AA3026">
      <w:r>
        <w:separator/>
      </w:r>
    </w:p>
  </w:endnote>
  <w:endnote w:type="continuationSeparator" w:id="0">
    <w:p w14:paraId="021DF356" w14:textId="77777777" w:rsidR="000C546D" w:rsidRDefault="000C546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3F43" w14:textId="77777777" w:rsidR="000C546D" w:rsidRDefault="000C546D" w:rsidP="00AA3026">
      <w:r>
        <w:separator/>
      </w:r>
    </w:p>
  </w:footnote>
  <w:footnote w:type="continuationSeparator" w:id="0">
    <w:p w14:paraId="7C97FA06" w14:textId="77777777" w:rsidR="000C546D" w:rsidRDefault="000C546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90167"/>
    <w:rsid w:val="000935D6"/>
    <w:rsid w:val="000B5505"/>
    <w:rsid w:val="000C546D"/>
    <w:rsid w:val="000D0298"/>
    <w:rsid w:val="000F303D"/>
    <w:rsid w:val="000F423B"/>
    <w:rsid w:val="000F4657"/>
    <w:rsid w:val="000F4E3B"/>
    <w:rsid w:val="00103336"/>
    <w:rsid w:val="001165C4"/>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D2257"/>
    <w:rsid w:val="003E1560"/>
    <w:rsid w:val="0040347F"/>
    <w:rsid w:val="004233BA"/>
    <w:rsid w:val="00445B27"/>
    <w:rsid w:val="00460314"/>
    <w:rsid w:val="00462CC7"/>
    <w:rsid w:val="00483346"/>
    <w:rsid w:val="004A4762"/>
    <w:rsid w:val="004B48D4"/>
    <w:rsid w:val="004C4504"/>
    <w:rsid w:val="004C7A4D"/>
    <w:rsid w:val="004D13F9"/>
    <w:rsid w:val="004D20BC"/>
    <w:rsid w:val="00512CE0"/>
    <w:rsid w:val="00550FDD"/>
    <w:rsid w:val="005634DE"/>
    <w:rsid w:val="005648D6"/>
    <w:rsid w:val="00575207"/>
    <w:rsid w:val="0058661D"/>
    <w:rsid w:val="005D25ED"/>
    <w:rsid w:val="005D79F8"/>
    <w:rsid w:val="005F294F"/>
    <w:rsid w:val="0064706E"/>
    <w:rsid w:val="00683DE2"/>
    <w:rsid w:val="006C1E4E"/>
    <w:rsid w:val="006C3DAD"/>
    <w:rsid w:val="007055BB"/>
    <w:rsid w:val="00705E04"/>
    <w:rsid w:val="00725B7A"/>
    <w:rsid w:val="0075424D"/>
    <w:rsid w:val="00770D45"/>
    <w:rsid w:val="007857D0"/>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B252D"/>
    <w:rsid w:val="008C0289"/>
    <w:rsid w:val="008C1508"/>
    <w:rsid w:val="008C1875"/>
    <w:rsid w:val="008E3E7F"/>
    <w:rsid w:val="00903C4D"/>
    <w:rsid w:val="00927505"/>
    <w:rsid w:val="00940690"/>
    <w:rsid w:val="00952D72"/>
    <w:rsid w:val="00991BE4"/>
    <w:rsid w:val="00993388"/>
    <w:rsid w:val="009B165A"/>
    <w:rsid w:val="009D259B"/>
    <w:rsid w:val="009D53D8"/>
    <w:rsid w:val="00A10BB5"/>
    <w:rsid w:val="00A20484"/>
    <w:rsid w:val="00A64309"/>
    <w:rsid w:val="00A7128F"/>
    <w:rsid w:val="00A95E27"/>
    <w:rsid w:val="00AA3026"/>
    <w:rsid w:val="00AB6C13"/>
    <w:rsid w:val="00AE467E"/>
    <w:rsid w:val="00AF2FF1"/>
    <w:rsid w:val="00B57768"/>
    <w:rsid w:val="00B6402E"/>
    <w:rsid w:val="00B74800"/>
    <w:rsid w:val="00BE797B"/>
    <w:rsid w:val="00BF5785"/>
    <w:rsid w:val="00C0717B"/>
    <w:rsid w:val="00C26143"/>
    <w:rsid w:val="00C43A93"/>
    <w:rsid w:val="00C53973"/>
    <w:rsid w:val="00C628A6"/>
    <w:rsid w:val="00C87725"/>
    <w:rsid w:val="00C8774F"/>
    <w:rsid w:val="00C93366"/>
    <w:rsid w:val="00C9405A"/>
    <w:rsid w:val="00CD2372"/>
    <w:rsid w:val="00CD2840"/>
    <w:rsid w:val="00CE0053"/>
    <w:rsid w:val="00D05B33"/>
    <w:rsid w:val="00D15915"/>
    <w:rsid w:val="00D327F8"/>
    <w:rsid w:val="00D53973"/>
    <w:rsid w:val="00D708EF"/>
    <w:rsid w:val="00D82324"/>
    <w:rsid w:val="00D85505"/>
    <w:rsid w:val="00D97A45"/>
    <w:rsid w:val="00DA0017"/>
    <w:rsid w:val="00DC0E57"/>
    <w:rsid w:val="00DD5F0E"/>
    <w:rsid w:val="00DE0053"/>
    <w:rsid w:val="00E024DD"/>
    <w:rsid w:val="00E37654"/>
    <w:rsid w:val="00E8069C"/>
    <w:rsid w:val="00E808E5"/>
    <w:rsid w:val="00EC2F0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2022-09-18T18:22:00Z</dcterms:created>
  <dcterms:modified xsi:type="dcterms:W3CDTF">2022-09-19T19:44:00Z</dcterms:modified>
</cp:coreProperties>
</file>