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534AFC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B92FF7">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76C088D"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16CD9021" w14:textId="4B058ADD" w:rsidR="00FA387E" w:rsidRPr="004B01BD" w:rsidRDefault="00FA387E">
      <w:pPr>
        <w:pStyle w:val="ListParagraph"/>
        <w:numPr>
          <w:ilvl w:val="0"/>
          <w:numId w:val="3"/>
        </w:numPr>
        <w:rPr>
          <w:rFonts w:asciiTheme="minorHAnsi" w:hAnsiTheme="minorHAnsi" w:cstheme="minorHAnsi"/>
          <w:b/>
          <w:bCs/>
          <w:color w:val="003366"/>
        </w:rPr>
      </w:pPr>
      <w:r w:rsidRPr="004B01BD">
        <w:rPr>
          <w:rFonts w:asciiTheme="minorHAnsi" w:hAnsiTheme="minorHAnsi" w:cstheme="minorHAnsi"/>
          <w:b/>
          <w:bCs/>
          <w:color w:val="003366"/>
        </w:rPr>
        <w:t xml:space="preserve">Module 59 </w:t>
      </w:r>
      <w:r w:rsidR="0030088C" w:rsidRPr="004B01BD">
        <w:rPr>
          <w:rFonts w:asciiTheme="minorHAnsi" w:hAnsiTheme="minorHAnsi" w:cstheme="minorHAnsi"/>
          <w:b/>
          <w:bCs/>
          <w:color w:val="003366"/>
        </w:rPr>
        <w:t>- Social</w:t>
      </w:r>
      <w:r w:rsidRPr="004B01BD">
        <w:rPr>
          <w:rFonts w:asciiTheme="minorHAnsi" w:hAnsiTheme="minorHAnsi" w:cstheme="minorHAnsi"/>
          <w:b/>
          <w:bCs/>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65814F3C" w14:textId="72C0BDBD"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Pr="00FB0335">
        <w:rPr>
          <w:rFonts w:ascii="Calibri" w:eastAsia="Calibri" w:hAnsi="Calibri" w:cs="Calibri"/>
          <w:color w:val="002060"/>
        </w:rPr>
        <w:t>THURSDAY: Unit 11 PPT Review</w:t>
      </w:r>
    </w:p>
    <w:p w14:paraId="2CC9ADA1" w14:textId="77777777" w:rsidR="00FB0335" w:rsidRPr="00FB0335" w:rsidRDefault="00FB0335">
      <w:pPr>
        <w:pStyle w:val="ListParagraph"/>
        <w:numPr>
          <w:ilvl w:val="0"/>
          <w:numId w:val="4"/>
        </w:numPr>
        <w:rPr>
          <w:rFonts w:asciiTheme="majorHAnsi" w:eastAsia="Candara" w:hAnsiTheme="majorHAnsi" w:cstheme="majorHAnsi"/>
        </w:rPr>
      </w:pPr>
      <w:r w:rsidRPr="00FB0335">
        <w:rPr>
          <w:rFonts w:asciiTheme="majorHAnsi" w:eastAsia="Candara" w:hAnsiTheme="majorHAnsi" w:cstheme="majorHAnsi"/>
          <w:color w:val="002060"/>
        </w:rPr>
        <w:t>Module 60 – Introduction to Intelligence</w:t>
      </w:r>
    </w:p>
    <w:p w14:paraId="5016C47E" w14:textId="77777777" w:rsidR="00FB0335" w:rsidRPr="00FB0335" w:rsidRDefault="00FB0335">
      <w:pPr>
        <w:pStyle w:val="ListParagraph"/>
        <w:numPr>
          <w:ilvl w:val="0"/>
          <w:numId w:val="4"/>
        </w:numPr>
        <w:rPr>
          <w:rFonts w:asciiTheme="majorHAnsi" w:eastAsia="Candara" w:hAnsiTheme="majorHAnsi" w:cstheme="majorHAnsi"/>
        </w:rPr>
      </w:pPr>
      <w:r w:rsidRPr="00FB0335">
        <w:rPr>
          <w:rFonts w:asciiTheme="majorHAnsi" w:eastAsia="Candara" w:hAnsiTheme="majorHAnsi" w:cstheme="majorHAnsi"/>
          <w:color w:val="002060"/>
        </w:rPr>
        <w:t>Module 61 – Assessing Intelligence</w:t>
      </w:r>
    </w:p>
    <w:p w14:paraId="147CE8CC"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6004E61D" w:rsidR="00EE271E" w:rsidRDefault="00EE271E">
      <w:pPr>
        <w:pStyle w:val="ListParagraph"/>
        <w:numPr>
          <w:ilvl w:val="0"/>
          <w:numId w:val="2"/>
        </w:numPr>
        <w:rPr>
          <w:rFonts w:ascii="Candara" w:hAnsi="Candara"/>
        </w:rPr>
      </w:pPr>
      <w:r>
        <w:rPr>
          <w:rFonts w:ascii="Candara" w:hAnsi="Candara"/>
        </w:rPr>
        <w:t xml:space="preserve">READ: </w:t>
      </w:r>
      <w:r w:rsidR="00FA387E">
        <w:rPr>
          <w:rFonts w:ascii="Candara" w:hAnsi="Candara"/>
        </w:rPr>
        <w:t xml:space="preserve">Unit 10 </w:t>
      </w:r>
      <w:r w:rsidR="00FB0335">
        <w:rPr>
          <w:rFonts w:ascii="Candara" w:hAnsi="Candara"/>
        </w:rPr>
        <w:t>–</w:t>
      </w:r>
      <w:r w:rsidR="00FA387E">
        <w:rPr>
          <w:rFonts w:ascii="Candara" w:hAnsi="Candara"/>
        </w:rPr>
        <w:t xml:space="preserve"> Personality</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60545628" w14:textId="566DD4AA" w:rsidR="002B2E7C" w:rsidRPr="00F20061" w:rsidRDefault="002B2E7C">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00FE03F2" w:rsidR="00FA387E" w:rsidRDefault="00FA387E" w:rsidP="00FA387E">
      <w:pPr>
        <w:pStyle w:val="ListParagraph"/>
        <w:rPr>
          <w:rFonts w:ascii="Candara" w:hAnsi="Candara"/>
        </w:rPr>
      </w:pP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lastRenderedPageBreak/>
        <w:t>REMINDERS</w:t>
      </w:r>
      <w:r>
        <w:rPr>
          <w:rFonts w:ascii="Candara" w:hAnsi="Candara"/>
        </w:rPr>
        <w:t>:</w:t>
      </w:r>
    </w:p>
    <w:p w14:paraId="56EBAAD5" w14:textId="77777777" w:rsidR="00EC4D6B" w:rsidRDefault="00EC4D6B">
      <w:pPr>
        <w:pStyle w:val="ListParagraph"/>
        <w:numPr>
          <w:ilvl w:val="0"/>
          <w:numId w:val="2"/>
        </w:numPr>
        <w:rPr>
          <w:rFonts w:ascii="Candara" w:hAnsi="Candara"/>
          <w:b/>
          <w:bCs/>
          <w:color w:val="C00000"/>
        </w:rPr>
        <w:sectPr w:rsidR="00EC4D6B" w:rsidSect="00696033">
          <w:pgSz w:w="12240" w:h="15840"/>
          <w:pgMar w:top="720" w:right="720" w:bottom="720" w:left="720" w:header="708" w:footer="708" w:gutter="0"/>
          <w:cols w:space="720"/>
        </w:sectPr>
      </w:pPr>
    </w:p>
    <w:p w14:paraId="4F208D05" w14:textId="1AC1A12F" w:rsidR="005E0DF7" w:rsidRDefault="007D02BE">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w:t>
      </w:r>
      <w:r w:rsidR="00FA387E" w:rsidRPr="005E0DF7">
        <w:rPr>
          <w:rFonts w:ascii="Candara" w:hAnsi="Candara"/>
          <w:b/>
          <w:bCs/>
        </w:rPr>
        <w:t>10</w:t>
      </w:r>
      <w:r w:rsidRPr="005E0DF7">
        <w:rPr>
          <w:rFonts w:ascii="Candara" w:hAnsi="Candara"/>
          <w:b/>
          <w:bCs/>
        </w:rPr>
        <w:t xml:space="preserve"> </w:t>
      </w:r>
      <w:r w:rsidRPr="005E0DF7">
        <w:rPr>
          <w:rFonts w:ascii="Candara" w:hAnsi="Candara"/>
          <w:b/>
          <w:bCs/>
        </w:rPr>
        <w:sym w:font="Wingdings" w:char="F0E0"/>
      </w:r>
      <w:r w:rsidRPr="005E0DF7">
        <w:rPr>
          <w:rFonts w:ascii="Candara" w:hAnsi="Candara"/>
          <w:b/>
          <w:bCs/>
        </w:rPr>
        <w:t xml:space="preserve"> </w:t>
      </w:r>
      <w:r w:rsidR="00F017CD" w:rsidRPr="005E0DF7">
        <w:rPr>
          <w:rFonts w:ascii="Candara" w:hAnsi="Candara"/>
          <w:b/>
          <w:bCs/>
        </w:rPr>
        <w:t>Wednesday</w:t>
      </w:r>
      <w:r w:rsidR="0072148B" w:rsidRPr="005E0DF7">
        <w:rPr>
          <w:rFonts w:ascii="Candara" w:hAnsi="Candara"/>
          <w:b/>
          <w:bCs/>
        </w:rPr>
        <w:t xml:space="preserve">, </w:t>
      </w:r>
      <w:r w:rsidR="00FA387E" w:rsidRPr="005E0DF7">
        <w:rPr>
          <w:rFonts w:ascii="Candara" w:hAnsi="Candara"/>
          <w:b/>
          <w:bCs/>
        </w:rPr>
        <w:t>Mar</w:t>
      </w:r>
      <w:r w:rsidR="0072148B" w:rsidRPr="005E0DF7">
        <w:rPr>
          <w:rFonts w:ascii="Candara" w:hAnsi="Candara"/>
          <w:b/>
          <w:bCs/>
        </w:rPr>
        <w:t xml:space="preserve">. </w:t>
      </w:r>
      <w:r w:rsidR="00F017CD" w:rsidRPr="005E0DF7">
        <w:rPr>
          <w:rFonts w:ascii="Candara" w:hAnsi="Candara"/>
          <w:b/>
          <w:bCs/>
        </w:rPr>
        <w:t>8</w:t>
      </w:r>
      <w:r w:rsidR="00972F97" w:rsidRPr="005E0DF7">
        <w:rPr>
          <w:rFonts w:ascii="Candara" w:hAnsi="Candara"/>
          <w:b/>
          <w:bCs/>
        </w:rPr>
        <w:t xml:space="preserve"> </w:t>
      </w:r>
      <w:r w:rsidR="00F017CD" w:rsidRPr="005E0DF7">
        <w:rPr>
          <w:rFonts w:ascii="Candara" w:hAnsi="Candara"/>
          <w:b/>
          <w:bCs/>
        </w:rPr>
        <w:t xml:space="preserve">  Note change of date!!</w:t>
      </w:r>
    </w:p>
    <w:p w14:paraId="757D35D4" w14:textId="108833FD"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11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March 13</w:t>
      </w:r>
    </w:p>
    <w:p w14:paraId="11515840" w14:textId="4D631409"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5E0DF7">
        <w:rPr>
          <w:rFonts w:ascii="Candara" w:hAnsi="Candara"/>
          <w:b/>
          <w:bCs/>
          <w:highlight w:val="yellow"/>
        </w:rPr>
        <w:t>March 15</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pPr>
        <w:pStyle w:val="ListParagraph"/>
        <w:numPr>
          <w:ilvl w:val="0"/>
          <w:numId w:val="2"/>
        </w:numPr>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w:t>
      </w:r>
      <w:proofErr w:type="gramStart"/>
      <w:r w:rsidRPr="008F347B">
        <w:rPr>
          <w:rFonts w:asciiTheme="minorHAnsi" w:hAnsiTheme="minorHAnsi" w:cstheme="minorHAnsi"/>
        </w:rPr>
        <w:t>actually feel</w:t>
      </w:r>
      <w:proofErr w:type="gramEnd"/>
      <w:r w:rsidRPr="008F347B">
        <w:rPr>
          <w:rFonts w:asciiTheme="minorHAnsi" w:hAnsiTheme="minorHAnsi" w:cstheme="minorHAnsi"/>
        </w:rPr>
        <w:t xml:space="preserve">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w:t>
      </w:r>
      <w:proofErr w:type="gramStart"/>
      <w:r w:rsidRPr="008F347B">
        <w:rPr>
          <w:rFonts w:asciiTheme="minorHAnsi" w:hAnsiTheme="minorHAnsi" w:cstheme="minorHAnsi"/>
        </w:rPr>
        <w:t>multiple choice</w:t>
      </w:r>
      <w:proofErr w:type="gramEnd"/>
      <w:r w:rsidRPr="008F347B">
        <w:rPr>
          <w:rFonts w:asciiTheme="minorHAnsi" w:hAnsiTheme="minorHAnsi" w:cstheme="minorHAnsi"/>
        </w:rPr>
        <w:t xml:space="preserv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w:t>
      </w:r>
      <w:proofErr w:type="gramStart"/>
      <w:r w:rsidRPr="008F347B">
        <w:rPr>
          <w:rFonts w:asciiTheme="minorHAnsi" w:hAnsiTheme="minorHAnsi" w:cstheme="minorHAnsi"/>
        </w:rPr>
        <w:t>definitely experienced</w:t>
      </w:r>
      <w:proofErr w:type="gramEnd"/>
      <w:r w:rsidRPr="008F347B">
        <w:rPr>
          <w:rFonts w:asciiTheme="minorHAnsi" w:hAnsiTheme="minorHAnsi" w:cstheme="minorHAnsi"/>
        </w:rPr>
        <w:t xml:space="preserve">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w:t>
      </w:r>
      <w:proofErr w:type="gramStart"/>
      <w:r w:rsidRPr="008F347B">
        <w:rPr>
          <w:rFonts w:asciiTheme="minorHAnsi" w:hAnsiTheme="minorHAnsi" w:cstheme="minorHAnsi"/>
        </w:rPr>
        <w:t>similar to</w:t>
      </w:r>
      <w:proofErr w:type="gramEnd"/>
      <w:r w:rsidRPr="008F347B">
        <w:rPr>
          <w:rFonts w:asciiTheme="minorHAnsi" w:hAnsiTheme="minorHAnsi" w:cstheme="minorHAnsi"/>
        </w:rPr>
        <w:t xml:space="preserve">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w:t>
      </w:r>
      <w:proofErr w:type="gramStart"/>
      <w:r w:rsidRPr="008F347B">
        <w:rPr>
          <w:rFonts w:asciiTheme="minorHAnsi" w:hAnsiTheme="minorHAnsi" w:cstheme="minorHAnsi"/>
        </w:rPr>
        <w:t>can</w:t>
      </w:r>
      <w:proofErr w:type="gramEnd"/>
      <w:r w:rsidRPr="008F347B">
        <w:rPr>
          <w:rFonts w:asciiTheme="minorHAnsi" w:hAnsiTheme="minorHAnsi" w:cstheme="minorHAnsi"/>
        </w:rPr>
        <w:t xml:space="preserve">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w:t>
      </w: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w:t>
      </w:r>
      <w:proofErr w:type="gramStart"/>
      <w:r w:rsidRPr="008F347B">
        <w:rPr>
          <w:rFonts w:asciiTheme="minorHAnsi" w:hAnsiTheme="minorHAnsi" w:cstheme="minorHAnsi"/>
        </w:rPr>
        <w:t>really only</w:t>
      </w:r>
      <w:proofErr w:type="gramEnd"/>
      <w:r w:rsidRPr="008F347B">
        <w:rPr>
          <w:rFonts w:asciiTheme="minorHAnsi" w:hAnsiTheme="minorHAnsi" w:cstheme="minorHAnsi"/>
        </w:rPr>
        <w:t xml:space="preserve">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w:t>
      </w:r>
      <w:proofErr w:type="gramStart"/>
      <w:r w:rsidRPr="008F347B">
        <w:rPr>
          <w:rFonts w:asciiTheme="minorHAnsi" w:hAnsiTheme="minorHAnsi" w:cstheme="minorHAnsi"/>
        </w:rPr>
        <w:t>in order to</w:t>
      </w:r>
      <w:proofErr w:type="gramEnd"/>
      <w:r w:rsidRPr="008F347B">
        <w:rPr>
          <w:rFonts w:asciiTheme="minorHAnsi" w:hAnsiTheme="minorHAnsi" w:cstheme="minorHAnsi"/>
        </w:rPr>
        <w:t xml:space="preserve">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w:t>
      </w:r>
      <w:proofErr w:type="gramStart"/>
      <w:r w:rsidRPr="007C3227">
        <w:rPr>
          <w:rFonts w:asciiTheme="minorHAnsi" w:hAnsiTheme="minorHAnsi" w:cstheme="minorHAnsi"/>
          <w:color w:val="002060"/>
        </w:rPr>
        <w:t xml:space="preserve">Formation  </w:t>
      </w:r>
      <w:r>
        <w:rPr>
          <w:rFonts w:asciiTheme="minorHAnsi" w:hAnsiTheme="minorHAnsi" w:cstheme="minorHAnsi"/>
          <w:color w:val="002060"/>
        </w:rPr>
        <w:tab/>
      </w:r>
      <w:proofErr w:type="gramEnd"/>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w:t>
      </w:r>
      <w:proofErr w:type="gramStart"/>
      <w:r w:rsidRPr="007C3227">
        <w:rPr>
          <w:rFonts w:asciiTheme="minorHAnsi" w:hAnsiTheme="minorHAnsi" w:cstheme="minorHAnsi"/>
          <w:color w:val="002060"/>
        </w:rPr>
        <w:t>actually likes</w:t>
      </w:r>
      <w:proofErr w:type="gramEnd"/>
      <w:r w:rsidRPr="007C3227">
        <w:rPr>
          <w:rFonts w:asciiTheme="minorHAnsi" w:hAnsiTheme="minorHAnsi" w:cstheme="minorHAnsi"/>
          <w:color w:val="002060"/>
        </w:rPr>
        <w:t xml:space="preserve">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w:t>
      </w:r>
      <w:proofErr w:type="gramStart"/>
      <w:r w:rsidRPr="007C3227">
        <w:rPr>
          <w:rFonts w:asciiTheme="minorHAnsi" w:hAnsiTheme="minorHAnsi" w:cstheme="minorHAnsi"/>
          <w:color w:val="002060"/>
        </w:rPr>
        <w:t>in order to</w:t>
      </w:r>
      <w:proofErr w:type="gramEnd"/>
      <w:r w:rsidRPr="007C3227">
        <w:rPr>
          <w:rFonts w:asciiTheme="minorHAnsi" w:hAnsiTheme="minorHAnsi" w:cstheme="minorHAnsi"/>
          <w:color w:val="002060"/>
        </w:rPr>
        <w:t xml:space="preserve">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w:t>
      </w:r>
      <w:proofErr w:type="gramStart"/>
      <w:r w:rsidRPr="007C3227">
        <w:rPr>
          <w:rFonts w:asciiTheme="minorHAnsi" w:hAnsiTheme="minorHAnsi" w:cstheme="minorHAnsi"/>
          <w:color w:val="002060"/>
        </w:rPr>
        <w:t>actually drink</w:t>
      </w:r>
      <w:proofErr w:type="gramEnd"/>
      <w:r w:rsidRPr="007C3227">
        <w:rPr>
          <w:rFonts w:asciiTheme="minorHAnsi" w:hAnsiTheme="minorHAnsi" w:cstheme="minorHAnsi"/>
          <w:color w:val="002060"/>
        </w:rPr>
        <w:t xml:space="preserve">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 xml:space="preserve">_____ 29. A number of psychologists believe that social crusaders who </w:t>
      </w:r>
      <w:proofErr w:type="gramStart"/>
      <w:r w:rsidRPr="007C3227">
        <w:rPr>
          <w:rFonts w:asciiTheme="minorHAnsi" w:hAnsiTheme="minorHAnsi" w:cstheme="minorHAnsi"/>
          <w:color w:val="002060"/>
        </w:rPr>
        <w:t>advocate</w:t>
      </w:r>
      <w:proofErr w:type="gramEnd"/>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7EF5" w14:textId="77777777" w:rsidR="002750C8" w:rsidRDefault="002750C8" w:rsidP="00AA3026">
      <w:r>
        <w:separator/>
      </w:r>
    </w:p>
  </w:endnote>
  <w:endnote w:type="continuationSeparator" w:id="0">
    <w:p w14:paraId="66ADF8E4" w14:textId="77777777" w:rsidR="002750C8" w:rsidRDefault="002750C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9127" w14:textId="77777777" w:rsidR="002750C8" w:rsidRDefault="002750C8" w:rsidP="00AA3026">
      <w:r>
        <w:separator/>
      </w:r>
    </w:p>
  </w:footnote>
  <w:footnote w:type="continuationSeparator" w:id="0">
    <w:p w14:paraId="4A247C19" w14:textId="77777777" w:rsidR="002750C8" w:rsidRDefault="002750C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2FF7"/>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0335"/>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2023-03-08T12:33:00Z</dcterms:created>
  <dcterms:modified xsi:type="dcterms:W3CDTF">2023-03-08T12:34:00Z</dcterms:modified>
</cp:coreProperties>
</file>