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9E0DFF1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DD384D">
        <w:rPr>
          <w:rFonts w:ascii="Candara" w:hAnsi="Candara"/>
          <w:b/>
          <w:color w:val="36EB0B"/>
        </w:rPr>
        <w:t xml:space="preserve">May </w:t>
      </w:r>
      <w:r w:rsidR="00A34F8D">
        <w:rPr>
          <w:rFonts w:ascii="Candara" w:hAnsi="Candara"/>
          <w:b/>
          <w:color w:val="36EB0B"/>
        </w:rPr>
        <w:t>3</w:t>
      </w:r>
      <w:r w:rsidR="004C0409">
        <w:rPr>
          <w:rFonts w:ascii="Candara" w:hAnsi="Candara"/>
          <w:b/>
          <w:color w:val="36EB0B"/>
        </w:rPr>
        <w:t>1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50D824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4C0409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204417DB" w:rsidR="008E415C" w:rsidRPr="00A34F8D" w:rsidRDefault="008A059C" w:rsidP="00576FD2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PRESENTATIONS: Begins May </w:t>
      </w:r>
      <w:r w:rsidR="00600CB0" w:rsidRPr="004C0409">
        <w:rPr>
          <w:rFonts w:ascii="Candara" w:hAnsi="Candara"/>
          <w:b/>
          <w:bCs/>
          <w:color w:val="003366"/>
          <w:highlight w:val="yellow"/>
        </w:rPr>
        <w:t>31</w:t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 for *non-APES students*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Pr="004C0409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4C0409"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 xml:space="preserve">3) </w:t>
      </w:r>
      <w:r w:rsidR="009E463F" w:rsidRPr="004C0409">
        <w:rPr>
          <w:rFonts w:ascii="Candara" w:hAnsi="Candara"/>
          <w:color w:val="FF00FF"/>
        </w:rPr>
        <w:t xml:space="preserve">Having read the article: “Fast Fashion…” </w:t>
      </w:r>
      <w:r w:rsidR="009E463F" w:rsidRPr="004C0409">
        <w:rPr>
          <w:rFonts w:ascii="Candara" w:hAnsi="Candara"/>
          <w:color w:val="002060"/>
        </w:rPr>
        <w:t>[https://www.nationalgeographic.com/environment/article/chile-fashion-pollution</w:t>
      </w:r>
      <w:r w:rsidR="009E463F" w:rsidRPr="004C0409">
        <w:rPr>
          <w:rFonts w:ascii="Candara" w:hAnsi="Candara"/>
          <w:color w:val="FF00FF"/>
        </w:rPr>
        <w:t>], state 3 ways in which you can minimize your contribution to the “mountain of discarded clothes in Chile’s Atacama Desert” (</w:t>
      </w:r>
      <w:proofErr w:type="spellStart"/>
      <w:r w:rsidR="009E463F" w:rsidRPr="004C0409">
        <w:rPr>
          <w:rFonts w:ascii="Candara" w:hAnsi="Candara"/>
          <w:color w:val="FF00FF"/>
        </w:rPr>
        <w:t>ie</w:t>
      </w:r>
      <w:proofErr w:type="spellEnd"/>
      <w:r w:rsidR="009E463F" w:rsidRPr="004C0409">
        <w:rPr>
          <w:rFonts w:ascii="Candara" w:hAnsi="Candara"/>
          <w:color w:val="FF00FF"/>
        </w:rPr>
        <w:t>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BB6E" w14:textId="77777777" w:rsidR="00712DA5" w:rsidRDefault="00712DA5" w:rsidP="00AA3026">
      <w:r>
        <w:separator/>
      </w:r>
    </w:p>
  </w:endnote>
  <w:endnote w:type="continuationSeparator" w:id="0">
    <w:p w14:paraId="1D0511DD" w14:textId="77777777" w:rsidR="00712DA5" w:rsidRDefault="00712DA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01D9" w14:textId="77777777" w:rsidR="00712DA5" w:rsidRDefault="00712DA5" w:rsidP="00AA3026">
      <w:r>
        <w:separator/>
      </w:r>
    </w:p>
  </w:footnote>
  <w:footnote w:type="continuationSeparator" w:id="0">
    <w:p w14:paraId="6D7223A9" w14:textId="77777777" w:rsidR="00712DA5" w:rsidRDefault="00712DA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5FAF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409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0CB0"/>
    <w:rsid w:val="0060557D"/>
    <w:rsid w:val="006058C5"/>
    <w:rsid w:val="0061047F"/>
    <w:rsid w:val="006201B5"/>
    <w:rsid w:val="00620795"/>
    <w:rsid w:val="0062355C"/>
    <w:rsid w:val="00623D40"/>
    <w:rsid w:val="00626239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2DA5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2A76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4F8D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9DB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021AC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2023-05-31T12:52:00Z</dcterms:created>
  <dcterms:modified xsi:type="dcterms:W3CDTF">2023-05-31T12:53:00Z</dcterms:modified>
</cp:coreProperties>
</file>