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EDE59E3"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EE271E">
        <w:rPr>
          <w:rFonts w:ascii="Candara" w:hAnsi="Candara"/>
          <w:b/>
          <w:color w:val="7030A0"/>
        </w:rPr>
        <w:t>20</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248B3783" w:rsidR="00241584" w:rsidRPr="008342CC" w:rsidRDefault="0075424D" w:rsidP="00241584">
      <w:pPr>
        <w:rPr>
          <w:rFonts w:ascii="Candara" w:hAnsi="Candara"/>
          <w:b/>
          <w:color w:val="003366"/>
        </w:rPr>
      </w:pPr>
      <w:r>
        <w:rPr>
          <w:rFonts w:ascii="Candara" w:hAnsi="Candara"/>
          <w:b/>
          <w:color w:val="003366"/>
        </w:rPr>
        <w:t xml:space="preserve">Today’s Agenda (Day </w:t>
      </w:r>
      <w:r w:rsidR="009B772E">
        <w:rPr>
          <w:rFonts w:ascii="Candara" w:hAnsi="Candara"/>
          <w:b/>
          <w:color w:val="003366"/>
        </w:rPr>
        <w:t>9</w:t>
      </w:r>
      <w:r w:rsidR="00EE271E">
        <w:rPr>
          <w:rFonts w:ascii="Candara" w:hAnsi="Candara"/>
          <w:b/>
          <w:color w:val="003366"/>
        </w:rPr>
        <w:t>2</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422559EB" w14:textId="0A2E13CC" w:rsidR="00703EC1" w:rsidRPr="00EE271E" w:rsidRDefault="00703EC1" w:rsidP="005E7255">
      <w:pPr>
        <w:ind w:left="1440"/>
        <w:rPr>
          <w:rFonts w:ascii="Candara" w:hAnsi="Candara"/>
          <w:b/>
          <w:bCs/>
          <w:color w:val="003366"/>
        </w:rPr>
      </w:pPr>
      <w:r w:rsidRPr="00EE271E">
        <w:rPr>
          <w:rFonts w:ascii="Candara" w:hAnsi="Candara"/>
          <w:b/>
          <w:bCs/>
          <w:color w:val="003366"/>
        </w:rPr>
        <w:sym w:font="Wingdings" w:char="F0E0"/>
      </w:r>
      <w:r w:rsidR="00EE271E" w:rsidRPr="00EE271E">
        <w:rPr>
          <w:rFonts w:ascii="Candara" w:hAnsi="Candara"/>
          <w:b/>
          <w:bCs/>
          <w:color w:val="003366"/>
        </w:rPr>
        <w:t>”STRESS LESS FEST” DAY!</w:t>
      </w:r>
    </w:p>
    <w:p w14:paraId="31F279FD" w14:textId="77777777" w:rsidR="001B3F0E" w:rsidRPr="005E7255" w:rsidRDefault="001B3F0E" w:rsidP="005E7255">
      <w:pPr>
        <w:ind w:left="1440"/>
        <w:rPr>
          <w:rFonts w:ascii="Candara" w:hAnsi="Candara"/>
          <w:b/>
          <w:bCs/>
          <w:color w:val="002060"/>
        </w:rPr>
      </w:pPr>
    </w:p>
    <w:p w14:paraId="34B2B069" w14:textId="38952A17"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972F97">
        <w:rPr>
          <w:rFonts w:asciiTheme="minorHAnsi" w:hAnsiTheme="minorHAnsi" w:cstheme="minorHAnsi"/>
          <w:color w:val="002060"/>
        </w:rPr>
        <w:t>1</w:t>
      </w:r>
      <w:r w:rsidR="00EE271E">
        <w:rPr>
          <w:rFonts w:asciiTheme="minorHAnsi" w:hAnsiTheme="minorHAnsi" w:cstheme="minorHAnsi"/>
          <w:color w:val="002060"/>
        </w:rPr>
        <w:t>3</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30962BC1" w14:textId="77777777" w:rsidR="0072148B" w:rsidRPr="00EE271E" w:rsidRDefault="0072148B" w:rsidP="0072148B">
      <w:pPr>
        <w:pStyle w:val="ListParagraph"/>
        <w:numPr>
          <w:ilvl w:val="0"/>
          <w:numId w:val="45"/>
        </w:numPr>
        <w:rPr>
          <w:rFonts w:asciiTheme="minorHAnsi" w:hAnsiTheme="minorHAnsi" w:cstheme="minorHAnsi"/>
          <w:color w:val="002060"/>
        </w:rPr>
      </w:pPr>
      <w:r w:rsidRPr="00EE271E">
        <w:rPr>
          <w:rFonts w:asciiTheme="minorHAnsi" w:hAnsiTheme="minorHAnsi" w:cstheme="minorHAnsi"/>
          <w:color w:val="002060"/>
        </w:rPr>
        <w:t>Module 41 – Theories &amp; Physiology of Emotion</w:t>
      </w:r>
    </w:p>
    <w:p w14:paraId="0C195692" w14:textId="77777777" w:rsidR="0072148B" w:rsidRPr="00EE271E" w:rsidRDefault="0072148B" w:rsidP="0072148B">
      <w:pPr>
        <w:pStyle w:val="ListParagraph"/>
        <w:numPr>
          <w:ilvl w:val="0"/>
          <w:numId w:val="45"/>
        </w:numPr>
        <w:rPr>
          <w:rFonts w:asciiTheme="minorHAnsi" w:hAnsiTheme="minorHAnsi" w:cstheme="minorHAnsi"/>
          <w:color w:val="002060"/>
        </w:rPr>
      </w:pPr>
      <w:r w:rsidRPr="00EE271E">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382C0C04"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0CD5BF1C" w14:textId="5BB08F04" w:rsidR="00EE271E" w:rsidRDefault="00EE271E" w:rsidP="008578E7">
      <w:pPr>
        <w:pStyle w:val="ListParagraph"/>
        <w:numPr>
          <w:ilvl w:val="0"/>
          <w:numId w:val="24"/>
        </w:numPr>
        <w:rPr>
          <w:rFonts w:ascii="Candara" w:hAnsi="Candara"/>
        </w:rPr>
      </w:pPr>
      <w:r>
        <w:rPr>
          <w:rFonts w:ascii="Candara" w:hAnsi="Candara"/>
        </w:rPr>
        <w:t>READ: Unit 9 – Developmental Psychology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024268FF"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 xml:space="preserve">8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Tend-and-befriend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0C5F8C9" w14:textId="7F8F3A5D"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972F97">
        <w:rPr>
          <w:rFonts w:ascii="Candara" w:hAnsi="Candara"/>
          <w:b/>
          <w:bCs/>
          <w:strike/>
          <w:highlight w:val="yellow"/>
        </w:rPr>
        <w:t>Wednesday, Jan. 18</w:t>
      </w:r>
      <w:r w:rsidR="00972F97">
        <w:rPr>
          <w:rFonts w:ascii="Candara" w:hAnsi="Candara"/>
          <w:b/>
          <w:bCs/>
        </w:rPr>
        <w:t xml:space="preserve"> </w:t>
      </w:r>
      <w:r w:rsidR="00972F97">
        <w:rPr>
          <w:rFonts w:ascii="Candara" w:hAnsi="Candara"/>
          <w:b/>
          <w:bCs/>
          <w:color w:val="FF00FF"/>
        </w:rPr>
        <w:t>Jan. 23</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C726" w14:textId="77777777" w:rsidR="00A25021" w:rsidRDefault="00A25021" w:rsidP="00AA3026">
      <w:r>
        <w:separator/>
      </w:r>
    </w:p>
  </w:endnote>
  <w:endnote w:type="continuationSeparator" w:id="0">
    <w:p w14:paraId="5B7E571E" w14:textId="77777777" w:rsidR="00A25021" w:rsidRDefault="00A2502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7023" w14:textId="77777777" w:rsidR="00A25021" w:rsidRDefault="00A25021" w:rsidP="00AA3026">
      <w:r>
        <w:separator/>
      </w:r>
    </w:p>
  </w:footnote>
  <w:footnote w:type="continuationSeparator" w:id="0">
    <w:p w14:paraId="76CCCDC8" w14:textId="77777777" w:rsidR="00A25021" w:rsidRDefault="00A2502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54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B3F0E"/>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1033D"/>
    <w:rsid w:val="00316775"/>
    <w:rsid w:val="003167C1"/>
    <w:rsid w:val="00342C1E"/>
    <w:rsid w:val="00347EA4"/>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EEB"/>
    <w:rsid w:val="00504219"/>
    <w:rsid w:val="00512CE0"/>
    <w:rsid w:val="005205A7"/>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E7255"/>
    <w:rsid w:val="005F294F"/>
    <w:rsid w:val="00627042"/>
    <w:rsid w:val="00632691"/>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61E"/>
    <w:rsid w:val="008D0D3B"/>
    <w:rsid w:val="008E3E7F"/>
    <w:rsid w:val="008E77AE"/>
    <w:rsid w:val="00903C4D"/>
    <w:rsid w:val="00927505"/>
    <w:rsid w:val="0092753D"/>
    <w:rsid w:val="009309C6"/>
    <w:rsid w:val="00937169"/>
    <w:rsid w:val="00940690"/>
    <w:rsid w:val="00950CA4"/>
    <w:rsid w:val="00952D72"/>
    <w:rsid w:val="00972F97"/>
    <w:rsid w:val="009763F8"/>
    <w:rsid w:val="00991BE4"/>
    <w:rsid w:val="00993388"/>
    <w:rsid w:val="00994A85"/>
    <w:rsid w:val="00994D3C"/>
    <w:rsid w:val="009B165A"/>
    <w:rsid w:val="009B3EB0"/>
    <w:rsid w:val="009B772E"/>
    <w:rsid w:val="009D259B"/>
    <w:rsid w:val="009D3128"/>
    <w:rsid w:val="009D53D8"/>
    <w:rsid w:val="009D5EA7"/>
    <w:rsid w:val="009E71EE"/>
    <w:rsid w:val="00A10BB5"/>
    <w:rsid w:val="00A10DCA"/>
    <w:rsid w:val="00A20484"/>
    <w:rsid w:val="00A25021"/>
    <w:rsid w:val="00A33B55"/>
    <w:rsid w:val="00A4623C"/>
    <w:rsid w:val="00A64309"/>
    <w:rsid w:val="00A7128F"/>
    <w:rsid w:val="00A7619B"/>
    <w:rsid w:val="00A76ED6"/>
    <w:rsid w:val="00A865DD"/>
    <w:rsid w:val="00A95E27"/>
    <w:rsid w:val="00A96870"/>
    <w:rsid w:val="00AA10C8"/>
    <w:rsid w:val="00AA3026"/>
    <w:rsid w:val="00AB6C13"/>
    <w:rsid w:val="00AC47E4"/>
    <w:rsid w:val="00AD588C"/>
    <w:rsid w:val="00AE467E"/>
    <w:rsid w:val="00AE4A35"/>
    <w:rsid w:val="00AE59EB"/>
    <w:rsid w:val="00AF2B4D"/>
    <w:rsid w:val="00AF2FF1"/>
    <w:rsid w:val="00B4020A"/>
    <w:rsid w:val="00B57768"/>
    <w:rsid w:val="00B6402E"/>
    <w:rsid w:val="00B74800"/>
    <w:rsid w:val="00B8211B"/>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47CE9"/>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E271E"/>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2023-01-20T10:11:00Z</dcterms:created>
  <dcterms:modified xsi:type="dcterms:W3CDTF">2023-01-20T10:13:00Z</dcterms:modified>
</cp:coreProperties>
</file>