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512E28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C0172B">
        <w:rPr>
          <w:rFonts w:ascii="Candara" w:hAnsi="Candara"/>
          <w:b/>
          <w:color w:val="7030A0"/>
        </w:rPr>
        <w:t>2</w:t>
      </w:r>
      <w:r w:rsidR="00023084">
        <w:rPr>
          <w:rFonts w:ascii="Candara" w:hAnsi="Candara"/>
          <w:b/>
          <w:color w:val="7030A0"/>
        </w:rPr>
        <w:t>4</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C24D25E"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w:t>
      </w:r>
      <w:r w:rsidR="00023084">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3C01C737"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C6EFA17" w14:textId="2B444A05" w:rsidR="00023084" w:rsidRDefault="00023084" w:rsidP="00D1447B">
      <w:pPr>
        <w:ind w:left="720" w:firstLine="720"/>
        <w:rPr>
          <w:rFonts w:ascii="Candara" w:hAnsi="Candara"/>
          <w:b/>
          <w:bCs/>
        </w:rPr>
      </w:pPr>
      <w:r w:rsidRPr="000A7592">
        <w:rPr>
          <w:rFonts w:ascii="Candara" w:hAnsi="Candara"/>
          <w:color w:val="003366"/>
        </w:rPr>
        <w:sym w:font="Wingdings" w:char="F0E0"/>
      </w:r>
      <w:r w:rsidRPr="00023084">
        <w:rPr>
          <w:rFonts w:ascii="Candara" w:hAnsi="Candara"/>
          <w:b/>
          <w:bCs/>
          <w:color w:val="C00000"/>
        </w:rPr>
        <w:t xml:space="preserve"> </w:t>
      </w:r>
      <w:r>
        <w:rPr>
          <w:rFonts w:ascii="Candara" w:hAnsi="Candara"/>
          <w:b/>
          <w:bCs/>
          <w:color w:val="C00000"/>
        </w:rPr>
        <w:t>QUIZ:</w:t>
      </w:r>
      <w:r>
        <w:rPr>
          <w:rFonts w:ascii="Candara" w:hAnsi="Candara"/>
          <w:b/>
          <w:bCs/>
        </w:rPr>
        <w:t xml:space="preserve"> Unit 4 Vocabulary</w:t>
      </w:r>
    </w:p>
    <w:p w14:paraId="75D86EC4" w14:textId="12817155" w:rsidR="00023084" w:rsidRPr="00023084" w:rsidRDefault="00023084" w:rsidP="00D1447B">
      <w:pPr>
        <w:ind w:left="720" w:firstLine="720"/>
        <w:rPr>
          <w:rFonts w:ascii="Candara" w:hAnsi="Candara"/>
          <w:color w:val="7030A0"/>
        </w:rPr>
      </w:pPr>
      <w:r>
        <w:rPr>
          <w:rFonts w:ascii="Candara" w:hAnsi="Candara"/>
          <w:b/>
          <w:bCs/>
        </w:rPr>
        <w:tab/>
      </w:r>
      <w:r>
        <w:rPr>
          <w:rFonts w:ascii="Candara" w:hAnsi="Candara"/>
          <w:b/>
          <w:bCs/>
          <w:color w:val="7030A0"/>
        </w:rPr>
        <w:t xml:space="preserve">*Go to </w:t>
      </w:r>
      <w:hyperlink r:id="rId8" w:history="1">
        <w:r w:rsidRPr="003317EE">
          <w:rPr>
            <w:rStyle w:val="Hyperlink"/>
            <w:rFonts w:ascii="Candara" w:hAnsi="Candara"/>
            <w:b/>
            <w:bCs/>
          </w:rPr>
          <w:t>www.socrative.com</w:t>
        </w:r>
      </w:hyperlink>
      <w:r>
        <w:rPr>
          <w:rFonts w:ascii="Candara" w:hAnsi="Candara"/>
          <w:b/>
          <w:bCs/>
          <w:color w:val="7030A0"/>
        </w:rPr>
        <w:t xml:space="preserve"> </w:t>
      </w:r>
      <w:r w:rsidRPr="00023084">
        <w:rPr>
          <w:rFonts w:ascii="Candara" w:hAnsi="Candara"/>
          <w:b/>
          <w:bCs/>
          <w:color w:val="7030A0"/>
        </w:rPr>
        <w:sym w:font="Wingdings" w:char="F0E0"/>
      </w:r>
      <w:r>
        <w:rPr>
          <w:rFonts w:ascii="Candara" w:hAnsi="Candara"/>
          <w:b/>
          <w:bCs/>
          <w:color w:val="7030A0"/>
        </w:rPr>
        <w:t xml:space="preserve"> enter room “MSBPSYCH” </w:t>
      </w:r>
      <w:r w:rsidRPr="00023084">
        <w:rPr>
          <w:rFonts w:ascii="Candara" w:hAnsi="Candara"/>
          <w:b/>
          <w:bCs/>
          <w:color w:val="7030A0"/>
        </w:rPr>
        <w:sym w:font="Wingdings" w:char="F0E0"/>
      </w:r>
      <w:r>
        <w:rPr>
          <w:rFonts w:ascii="Candara" w:hAnsi="Candara"/>
          <w:b/>
          <w:bCs/>
          <w:color w:val="7030A0"/>
        </w:rPr>
        <w:t xml:space="preserve"> enter ID #</w:t>
      </w:r>
    </w:p>
    <w:p w14:paraId="7D807C1E" w14:textId="046D9EBA" w:rsidR="00683DE2" w:rsidRPr="00023084" w:rsidRDefault="00D43C07" w:rsidP="00D1447B">
      <w:pPr>
        <w:ind w:left="720" w:firstLine="720"/>
        <w:rPr>
          <w:rFonts w:ascii="Candara" w:hAnsi="Candara"/>
          <w:color w:val="003366"/>
        </w:rPr>
      </w:pPr>
      <w:r w:rsidRPr="000A7592">
        <w:rPr>
          <w:rFonts w:ascii="Candara" w:hAnsi="Candara"/>
          <w:color w:val="003366"/>
        </w:rPr>
        <w:sym w:font="Wingdings" w:char="F0E0"/>
      </w:r>
      <w:r w:rsidR="00023084">
        <w:rPr>
          <w:rFonts w:ascii="Candara" w:hAnsi="Candara"/>
          <w:color w:val="003366"/>
        </w:rPr>
        <w:t xml:space="preserve">TUESDAY: </w:t>
      </w:r>
      <w:r w:rsidR="004101C3" w:rsidRPr="00023084">
        <w:rPr>
          <w:rFonts w:ascii="Candara" w:hAnsi="Candara"/>
          <w:color w:val="003366"/>
        </w:rPr>
        <w:t xml:space="preserve">DAY </w:t>
      </w:r>
      <w:r w:rsidR="00023084" w:rsidRPr="00023084">
        <w:rPr>
          <w:rFonts w:ascii="Candara" w:hAnsi="Candara"/>
          <w:color w:val="003366"/>
        </w:rPr>
        <w:t>5</w:t>
      </w:r>
      <w:r w:rsidR="00D1447B" w:rsidRPr="00023084">
        <w:rPr>
          <w:rFonts w:ascii="Candara" w:hAnsi="Candara"/>
          <w:color w:val="003366"/>
        </w:rPr>
        <w:t>: Brain Project Presentations</w:t>
      </w:r>
    </w:p>
    <w:p w14:paraId="7E82D753" w14:textId="0449ED96"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4101C3">
        <w:rPr>
          <w:rFonts w:ascii="Candara" w:hAnsi="Candara"/>
          <w:bCs/>
          <w:color w:val="003366"/>
        </w:rPr>
        <w:t xml:space="preserve">DAY </w:t>
      </w:r>
      <w:r w:rsidR="00023084">
        <w:rPr>
          <w:rFonts w:ascii="Candara" w:hAnsi="Candara"/>
          <w:bCs/>
          <w:color w:val="003366"/>
        </w:rPr>
        <w:t>3</w:t>
      </w:r>
      <w:r w:rsidRPr="000F38AE">
        <w:rPr>
          <w:rFonts w:ascii="Candara" w:hAnsi="Candara"/>
          <w:bCs/>
          <w:color w:val="003366"/>
        </w:rPr>
        <w:t>: Unit 4 PPT Review</w:t>
      </w:r>
      <w:r>
        <w:rPr>
          <w:rFonts w:ascii="Candara" w:hAnsi="Candara"/>
          <w:b/>
          <w:color w:val="003366"/>
        </w:rPr>
        <w:t xml:space="preserve"> </w:t>
      </w:r>
    </w:p>
    <w:p w14:paraId="7C8B8F3F" w14:textId="77777777" w:rsidR="000F38AE" w:rsidRPr="008321BE" w:rsidRDefault="000F38AE" w:rsidP="000F38AE">
      <w:pPr>
        <w:pStyle w:val="ListParagraph"/>
        <w:numPr>
          <w:ilvl w:val="0"/>
          <w:numId w:val="35"/>
        </w:numPr>
        <w:rPr>
          <w:rFonts w:ascii="Candara" w:hAnsi="Candara"/>
          <w:b/>
          <w:bCs/>
          <w:color w:val="003366"/>
        </w:rPr>
      </w:pPr>
      <w:r w:rsidRPr="008321BE">
        <w:rPr>
          <w:rFonts w:ascii="Candara" w:hAnsi="Candara"/>
          <w:b/>
          <w:bCs/>
          <w:color w:val="003366"/>
        </w:rPr>
        <w:t>Module 16 – Basic Principles of Sensation &amp; Perception</w:t>
      </w:r>
    </w:p>
    <w:p w14:paraId="11036D15" w14:textId="77777777" w:rsidR="000F38AE" w:rsidRPr="00C0172B" w:rsidRDefault="000F38AE" w:rsidP="000F38AE">
      <w:pPr>
        <w:pStyle w:val="ListParagraph"/>
        <w:numPr>
          <w:ilvl w:val="0"/>
          <w:numId w:val="35"/>
        </w:numPr>
        <w:rPr>
          <w:rFonts w:ascii="Candara" w:hAnsi="Candara"/>
          <w:b/>
          <w:bCs/>
          <w:color w:val="003366"/>
        </w:rPr>
      </w:pPr>
      <w:r w:rsidRPr="00C0172B">
        <w:rPr>
          <w:rFonts w:ascii="Candara" w:hAnsi="Candara"/>
          <w:b/>
          <w:bCs/>
          <w:color w:val="003366"/>
        </w:rPr>
        <w:t>Module 17 – Influences on Perception</w:t>
      </w:r>
    </w:p>
    <w:p w14:paraId="4B7C889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18 – Vision</w:t>
      </w:r>
    </w:p>
    <w:p w14:paraId="0390A0B0"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2CD2D3EA" w14:textId="401B6023" w:rsidR="001A65E6" w:rsidRDefault="00A96870" w:rsidP="00C0172B">
      <w:pPr>
        <w:ind w:left="720" w:firstLine="720"/>
        <w:rPr>
          <w:rFonts w:ascii="Candara" w:hAnsi="Candara"/>
          <w:color w:val="003366"/>
        </w:rPr>
      </w:pPr>
      <w:r w:rsidRPr="000A7592">
        <w:rPr>
          <w:rFonts w:ascii="Candara" w:hAnsi="Candara"/>
          <w:color w:val="003366"/>
        </w:rPr>
        <w:sym w:font="Wingdings" w:char="F0E0"/>
      </w:r>
      <w:r w:rsidR="00023084">
        <w:rPr>
          <w:rFonts w:ascii="Candara" w:hAnsi="Candara"/>
          <w:color w:val="003366"/>
        </w:rPr>
        <w:t xml:space="preserve">WEDNESDAY: </w:t>
      </w:r>
      <w:r w:rsidRPr="004101C3">
        <w:rPr>
          <w:rFonts w:ascii="Candara" w:hAnsi="Candara"/>
          <w:color w:val="003366"/>
        </w:rPr>
        <w:t>Online Activities</w:t>
      </w:r>
    </w:p>
    <w:p w14:paraId="07DE74DA" w14:textId="54816D5D" w:rsidR="00A96870" w:rsidRDefault="001A65E6" w:rsidP="00D1447B">
      <w:pPr>
        <w:ind w:left="720" w:firstLine="720"/>
        <w:rPr>
          <w:rStyle w:val="Hyperlink"/>
          <w:rFonts w:ascii="Candara" w:hAnsi="Candara"/>
        </w:rPr>
      </w:pPr>
      <w:r>
        <w:rPr>
          <w:rFonts w:ascii="Candara" w:hAnsi="Candara"/>
          <w:color w:val="003366"/>
        </w:rPr>
        <w:t>*</w:t>
      </w:r>
      <w:r w:rsidR="00A96870">
        <w:rPr>
          <w:rFonts w:ascii="Candara" w:hAnsi="Candara"/>
          <w:color w:val="003366"/>
        </w:rPr>
        <w:t xml:space="preserve">Psychology Tutorials – </w:t>
      </w:r>
      <w:hyperlink r:id="rId9" w:history="1">
        <w:r w:rsidR="00A96870" w:rsidRPr="00CE06C2">
          <w:rPr>
            <w:rStyle w:val="Hyperlink"/>
            <w:rFonts w:ascii="Candara" w:hAnsi="Candara"/>
          </w:rPr>
          <w:t>http://psych.hanover.edu/Krantz/tutor.html</w:t>
        </w:r>
      </w:hyperlink>
    </w:p>
    <w:p w14:paraId="044D7330" w14:textId="08A2119A" w:rsidR="00C0172B" w:rsidRPr="00C0172B" w:rsidRDefault="00C0172B" w:rsidP="00C0172B">
      <w:pPr>
        <w:ind w:left="720" w:firstLine="720"/>
        <w:rPr>
          <w:rFonts w:ascii="Candara" w:hAnsi="Candara"/>
          <w:b/>
          <w:bCs/>
          <w:color w:val="003366"/>
        </w:rPr>
      </w:pPr>
      <w:r>
        <w:rPr>
          <w:rFonts w:ascii="Candara" w:hAnsi="Candara"/>
          <w:color w:val="003366"/>
        </w:rPr>
        <w:t>*</w:t>
      </w:r>
      <w:r w:rsidRPr="00C0172B">
        <w:rPr>
          <w:rFonts w:ascii="Candara" w:hAnsi="Candara"/>
          <w:b/>
          <w:bCs/>
          <w:color w:val="003366"/>
        </w:rPr>
        <w:t>Motion Demos -  http://www.lifesci.sussex.ac.uk/home/George_Mather/Motion/</w:t>
      </w:r>
    </w:p>
    <w:p w14:paraId="7CD9542B" w14:textId="16C44D95" w:rsidR="00A96870" w:rsidRDefault="00A96870" w:rsidP="00D1447B">
      <w:pPr>
        <w:ind w:left="720" w:firstLine="720"/>
        <w:rPr>
          <w:rFonts w:ascii="Candara" w:hAnsi="Candara"/>
          <w:color w:val="003366"/>
        </w:rPr>
      </w:pPr>
      <w:r>
        <w:rPr>
          <w:rFonts w:ascii="Candara" w:hAnsi="Candara"/>
          <w:color w:val="003366"/>
        </w:rPr>
        <w:t xml:space="preserve">*Interactive Eye – </w:t>
      </w:r>
      <w:hyperlink r:id="rId10" w:history="1">
        <w:r w:rsidRPr="00CE06C2">
          <w:rPr>
            <w:rStyle w:val="Hyperlink"/>
            <w:rFonts w:ascii="Candara" w:hAnsi="Candara"/>
          </w:rPr>
          <w:t>www.nei.nih.gov/health/eyediagram</w:t>
        </w:r>
      </w:hyperlink>
    </w:p>
    <w:p w14:paraId="6A761D5B" w14:textId="2A687234" w:rsidR="00A96870" w:rsidRPr="0064706E" w:rsidRDefault="00A96870" w:rsidP="00A96870">
      <w:pPr>
        <w:ind w:left="720" w:firstLine="720"/>
        <w:rPr>
          <w:rFonts w:ascii="Candara" w:hAnsi="Candara"/>
          <w:color w:val="003366"/>
        </w:rPr>
      </w:pPr>
      <w:r>
        <w:rPr>
          <w:rFonts w:ascii="Candara" w:hAnsi="Candara"/>
          <w:color w:val="003366"/>
        </w:rPr>
        <w:t>*</w:t>
      </w:r>
      <w:r w:rsidRPr="00C0172B">
        <w:rPr>
          <w:rFonts w:ascii="Candara" w:hAnsi="Candara"/>
          <w:b/>
          <w:bCs/>
          <w:color w:val="003366"/>
        </w:rPr>
        <w:t xml:space="preserve">The Online Psychology Lab (OPL) – </w:t>
      </w:r>
      <w:hyperlink r:id="rId11" w:history="1">
        <w:r w:rsidRPr="00C0172B">
          <w:rPr>
            <w:rStyle w:val="Hyperlink"/>
            <w:rFonts w:ascii="Candara" w:hAnsi="Candara"/>
            <w:b/>
            <w:bCs/>
          </w:rPr>
          <w:t>http://opl.apa.org</w:t>
        </w:r>
      </w:hyperlink>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08931CBF"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2EB811F3" w14:textId="4F43D2F1" w:rsidR="00D1447B" w:rsidRPr="00023084" w:rsidRDefault="00D1447B" w:rsidP="00705E04">
      <w:pPr>
        <w:pStyle w:val="ListParagraph"/>
        <w:numPr>
          <w:ilvl w:val="0"/>
          <w:numId w:val="24"/>
        </w:numPr>
        <w:rPr>
          <w:rFonts w:ascii="Candara" w:hAnsi="Candara"/>
          <w:b/>
          <w:bCs/>
          <w:strike/>
        </w:rPr>
      </w:pPr>
      <w:r w:rsidRPr="00023084">
        <w:rPr>
          <w:rFonts w:ascii="Candara" w:hAnsi="Candara"/>
          <w:b/>
          <w:bCs/>
          <w:strike/>
          <w:color w:val="C00000"/>
        </w:rPr>
        <w:t>QUIZ:</w:t>
      </w:r>
      <w:r w:rsidRPr="00023084">
        <w:rPr>
          <w:rFonts w:ascii="Candara" w:hAnsi="Candara"/>
          <w:b/>
          <w:bCs/>
          <w:strike/>
        </w:rPr>
        <w:t xml:space="preserve"> Unit 4 Vocabulary </w:t>
      </w:r>
      <w:r w:rsidRPr="00023084">
        <w:rPr>
          <w:rFonts w:ascii="Candara" w:hAnsi="Candara"/>
          <w:b/>
          <w:bCs/>
          <w:strike/>
        </w:rPr>
        <w:sym w:font="Wingdings" w:char="F0E0"/>
      </w:r>
      <w:r w:rsidRPr="00023084">
        <w:rPr>
          <w:rFonts w:ascii="Candara" w:hAnsi="Candara"/>
          <w:b/>
          <w:bCs/>
          <w:strike/>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08A4CB2" w14:textId="77777777" w:rsidR="001A65E6" w:rsidRDefault="001A65E6" w:rsidP="000F38AE">
      <w:pPr>
        <w:spacing w:after="160" w:line="259" w:lineRule="auto"/>
        <w:rPr>
          <w:rFonts w:ascii="Candara" w:hAnsi="Candara"/>
          <w:b/>
          <w:bCs/>
          <w:highlight w:val="yellow"/>
        </w:rPr>
        <w:sectPr w:rsidR="001A65E6" w:rsidSect="00504219">
          <w:type w:val="continuous"/>
          <w:pgSz w:w="12240" w:h="15840"/>
          <w:pgMar w:top="720" w:right="720" w:bottom="720" w:left="720" w:header="708" w:footer="708" w:gutter="0"/>
          <w:cols w:space="720"/>
        </w:sectPr>
      </w:pP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rsidSect="001A65E6">
          <w:type w:val="continuous"/>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AA86" w14:textId="77777777" w:rsidR="00681D35" w:rsidRDefault="00681D35" w:rsidP="00AA3026">
      <w:r>
        <w:separator/>
      </w:r>
    </w:p>
  </w:endnote>
  <w:endnote w:type="continuationSeparator" w:id="0">
    <w:p w14:paraId="0A7B4219" w14:textId="77777777" w:rsidR="00681D35" w:rsidRDefault="00681D3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9390" w14:textId="77777777" w:rsidR="00681D35" w:rsidRDefault="00681D35" w:rsidP="00AA3026">
      <w:r>
        <w:separator/>
      </w:r>
    </w:p>
  </w:footnote>
  <w:footnote w:type="continuationSeparator" w:id="0">
    <w:p w14:paraId="3B8B5563" w14:textId="77777777" w:rsidR="00681D35" w:rsidRDefault="00681D3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9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83346"/>
    <w:rsid w:val="004A4762"/>
    <w:rsid w:val="004B48D4"/>
    <w:rsid w:val="004C4504"/>
    <w:rsid w:val="004C7A4D"/>
    <w:rsid w:val="004D13F9"/>
    <w:rsid w:val="004D20BC"/>
    <w:rsid w:val="004E45CB"/>
    <w:rsid w:val="004F02DD"/>
    <w:rsid w:val="004F5EEB"/>
    <w:rsid w:val="00504219"/>
    <w:rsid w:val="00512CE0"/>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1D35"/>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7E5492"/>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2753D"/>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D742B"/>
    <w:rsid w:val="00BE797B"/>
    <w:rsid w:val="00BF5785"/>
    <w:rsid w:val="00BF7762"/>
    <w:rsid w:val="00C0172B"/>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65646"/>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l.apa.org" TargetMode="External"/><Relationship Id="rId5" Type="http://schemas.openxmlformats.org/officeDocument/2006/relationships/webSettings" Target="webSettings.xml"/><Relationship Id="rId10" Type="http://schemas.openxmlformats.org/officeDocument/2006/relationships/hyperlink" Target="http://www.nei.nih.gov/health/eyediagram" TargetMode="External"/><Relationship Id="rId4" Type="http://schemas.openxmlformats.org/officeDocument/2006/relationships/settings" Target="settings.xml"/><Relationship Id="rId9" Type="http://schemas.openxmlformats.org/officeDocument/2006/relationships/hyperlink" Target="http://psych.hanover.edu/Krantz/tu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2022-10-24T08:47:00Z</dcterms:created>
  <dcterms:modified xsi:type="dcterms:W3CDTF">2022-10-24T08:50:00Z</dcterms:modified>
</cp:coreProperties>
</file>